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0BBB0">
      <w:pPr>
        <w:spacing w:line="312" w:lineRule="auto"/>
        <w:rPr>
          <w:rFonts w:ascii="Arial"/>
          <w:spacing w:val="0"/>
          <w:position w:val="0"/>
          <w:sz w:val="21"/>
        </w:rPr>
      </w:pPr>
      <w:bookmarkStart w:id="163" w:name="_GoBack"/>
      <w:bookmarkEnd w:id="163"/>
    </w:p>
    <w:p w14:paraId="5DE4E60D">
      <w:pPr>
        <w:spacing w:line="312" w:lineRule="auto"/>
        <w:rPr>
          <w:rFonts w:ascii="Arial"/>
          <w:spacing w:val="0"/>
          <w:position w:val="0"/>
          <w:sz w:val="21"/>
        </w:rPr>
      </w:pPr>
    </w:p>
    <w:p w14:paraId="2E38D3E4">
      <w:pPr>
        <w:spacing w:before="156" w:line="311" w:lineRule="auto"/>
        <w:ind w:left="3605" w:hanging="3605"/>
        <w:jc w:val="center"/>
        <w:rPr>
          <w:rFonts w:hint="eastAsia" w:ascii="宋体" w:hAnsi="宋体" w:eastAsia="宋体" w:cs="宋体"/>
          <w:spacing w:val="0"/>
          <w:position w:val="0"/>
          <w:sz w:val="48"/>
          <w:szCs w:val="48"/>
          <w:lang w:val="en-US" w:eastAsia="zh-CN"/>
          <w14:textOutline w14:w="8708" w14:cap="flat" w14:cmpd="sng">
            <w14:solidFill>
              <w14:srgbClr w14:val="000000"/>
            </w14:solidFill>
            <w14:prstDash w14:val="solid"/>
            <w14:miter w14:val="0"/>
          </w14:textOutline>
        </w:rPr>
      </w:pPr>
      <w:r>
        <w:rPr>
          <w:rFonts w:hint="eastAsia" w:ascii="宋体" w:hAnsi="宋体" w:eastAsia="宋体" w:cs="宋体"/>
          <w:spacing w:val="0"/>
          <w:position w:val="0"/>
          <w:sz w:val="48"/>
          <w:szCs w:val="48"/>
          <w:lang w:val="en-US" w:eastAsia="zh-CN"/>
          <w14:textOutline w14:w="8708" w14:cap="flat" w14:cmpd="sng">
            <w14:solidFill>
              <w14:srgbClr w14:val="000000"/>
            </w14:solidFill>
            <w14:prstDash w14:val="solid"/>
            <w14:miter w14:val="0"/>
          </w14:textOutline>
        </w:rPr>
        <w:t>登封市疾病预防控制中心</w:t>
      </w:r>
    </w:p>
    <w:p w14:paraId="6EBB5E52">
      <w:pPr>
        <w:spacing w:before="156" w:line="311" w:lineRule="auto"/>
        <w:ind w:left="3605" w:hanging="3605"/>
        <w:jc w:val="center"/>
        <w:rPr>
          <w:rFonts w:hint="default" w:ascii="宋体" w:hAnsi="宋体" w:eastAsia="宋体" w:cs="宋体"/>
          <w:spacing w:val="0"/>
          <w:position w:val="0"/>
          <w:sz w:val="48"/>
          <w:szCs w:val="48"/>
          <w:lang w:val="en-US" w:eastAsia="zh-CN"/>
        </w:rPr>
      </w:pPr>
      <w:r>
        <w:rPr>
          <w:rFonts w:hint="eastAsia" w:ascii="宋体" w:hAnsi="宋体" w:eastAsia="宋体" w:cs="宋体"/>
          <w:spacing w:val="0"/>
          <w:position w:val="0"/>
          <w:sz w:val="48"/>
          <w:szCs w:val="48"/>
          <w:lang w:val="en-US" w:eastAsia="zh-CN"/>
          <w14:textOutline w14:w="8708" w14:cap="flat" w14:cmpd="sng">
            <w14:solidFill>
              <w14:srgbClr w14:val="000000"/>
            </w14:solidFill>
            <w14:prstDash w14:val="solid"/>
            <w14:miter w14:val="0"/>
          </w14:textOutline>
        </w:rPr>
        <w:t>公共卫生能力提升项目</w:t>
      </w:r>
    </w:p>
    <w:p w14:paraId="07550B58">
      <w:pPr>
        <w:spacing w:line="254" w:lineRule="auto"/>
        <w:rPr>
          <w:rFonts w:ascii="Arial"/>
          <w:spacing w:val="0"/>
          <w:position w:val="0"/>
          <w:sz w:val="21"/>
        </w:rPr>
      </w:pPr>
    </w:p>
    <w:p w14:paraId="54726E6E">
      <w:pPr>
        <w:spacing w:line="254" w:lineRule="auto"/>
        <w:rPr>
          <w:rFonts w:ascii="Arial"/>
          <w:spacing w:val="0"/>
          <w:position w:val="0"/>
          <w:sz w:val="21"/>
        </w:rPr>
      </w:pPr>
    </w:p>
    <w:p w14:paraId="4548F213">
      <w:pPr>
        <w:spacing w:line="254" w:lineRule="auto"/>
        <w:rPr>
          <w:rFonts w:ascii="Arial"/>
          <w:spacing w:val="0"/>
          <w:position w:val="0"/>
          <w:sz w:val="21"/>
        </w:rPr>
      </w:pPr>
    </w:p>
    <w:p w14:paraId="052267AB">
      <w:pPr>
        <w:spacing w:line="255" w:lineRule="auto"/>
        <w:rPr>
          <w:rFonts w:ascii="Arial"/>
          <w:spacing w:val="0"/>
          <w:position w:val="0"/>
          <w:sz w:val="21"/>
        </w:rPr>
      </w:pPr>
    </w:p>
    <w:p w14:paraId="53C08923">
      <w:pPr>
        <w:spacing w:line="255" w:lineRule="auto"/>
        <w:rPr>
          <w:rFonts w:ascii="Arial"/>
          <w:spacing w:val="0"/>
          <w:position w:val="0"/>
          <w:sz w:val="21"/>
        </w:rPr>
      </w:pPr>
    </w:p>
    <w:p w14:paraId="19DD1F42">
      <w:pPr>
        <w:spacing w:line="255" w:lineRule="auto"/>
        <w:rPr>
          <w:rFonts w:ascii="Arial"/>
          <w:spacing w:val="0"/>
          <w:position w:val="0"/>
          <w:sz w:val="21"/>
        </w:rPr>
      </w:pPr>
    </w:p>
    <w:p w14:paraId="669B010E">
      <w:pPr>
        <w:spacing w:line="255" w:lineRule="auto"/>
        <w:rPr>
          <w:rFonts w:ascii="Arial"/>
          <w:spacing w:val="0"/>
          <w:position w:val="0"/>
          <w:sz w:val="21"/>
        </w:rPr>
      </w:pPr>
    </w:p>
    <w:p w14:paraId="2F58615E">
      <w:pPr>
        <w:spacing w:line="255" w:lineRule="auto"/>
        <w:rPr>
          <w:rFonts w:ascii="Arial"/>
          <w:spacing w:val="0"/>
          <w:position w:val="0"/>
          <w:sz w:val="21"/>
        </w:rPr>
      </w:pPr>
    </w:p>
    <w:p w14:paraId="4F7CE233">
      <w:pPr>
        <w:spacing w:line="255" w:lineRule="auto"/>
        <w:rPr>
          <w:rFonts w:ascii="Arial"/>
          <w:spacing w:val="0"/>
          <w:position w:val="0"/>
          <w:sz w:val="21"/>
        </w:rPr>
      </w:pPr>
    </w:p>
    <w:p w14:paraId="1E89B789">
      <w:pPr>
        <w:spacing w:before="273" w:line="220" w:lineRule="auto"/>
        <w:ind w:left="2268"/>
        <w:rPr>
          <w:rFonts w:ascii="宋体" w:hAnsi="宋体" w:eastAsia="宋体" w:cs="宋体"/>
          <w:spacing w:val="0"/>
          <w:position w:val="0"/>
          <w:sz w:val="84"/>
          <w:szCs w:val="84"/>
        </w:rPr>
      </w:pPr>
      <w:r>
        <w:rPr>
          <w:rFonts w:ascii="宋体" w:hAnsi="宋体" w:eastAsia="宋体" w:cs="宋体"/>
          <w:spacing w:val="0"/>
          <w:position w:val="0"/>
          <w:sz w:val="84"/>
          <w:szCs w:val="84"/>
          <w14:textOutline w14:w="15240" w14:cap="flat" w14:cmpd="sng">
            <w14:solidFill>
              <w14:srgbClr w14:val="000000"/>
            </w14:solidFill>
            <w14:prstDash w14:val="solid"/>
            <w14:miter w14:val="0"/>
          </w14:textOutline>
        </w:rPr>
        <w:t>招</w:t>
      </w:r>
      <w:r>
        <w:rPr>
          <w:rFonts w:ascii="宋体" w:hAnsi="宋体" w:eastAsia="宋体" w:cs="宋体"/>
          <w:spacing w:val="0"/>
          <w:position w:val="0"/>
          <w:sz w:val="84"/>
          <w:szCs w:val="84"/>
        </w:rPr>
        <w:t xml:space="preserve"> </w:t>
      </w:r>
      <w:r>
        <w:rPr>
          <w:rFonts w:ascii="宋体" w:hAnsi="宋体" w:eastAsia="宋体" w:cs="宋体"/>
          <w:spacing w:val="0"/>
          <w:position w:val="0"/>
          <w:sz w:val="84"/>
          <w:szCs w:val="84"/>
          <w14:textOutline w14:w="15240" w14:cap="flat" w14:cmpd="sng">
            <w14:solidFill>
              <w14:srgbClr w14:val="000000"/>
            </w14:solidFill>
            <w14:prstDash w14:val="solid"/>
            <w14:miter w14:val="0"/>
          </w14:textOutline>
        </w:rPr>
        <w:t>标</w:t>
      </w:r>
      <w:r>
        <w:rPr>
          <w:rFonts w:ascii="宋体" w:hAnsi="宋体" w:eastAsia="宋体" w:cs="宋体"/>
          <w:spacing w:val="0"/>
          <w:position w:val="0"/>
          <w:sz w:val="84"/>
          <w:szCs w:val="84"/>
        </w:rPr>
        <w:t xml:space="preserve"> </w:t>
      </w:r>
      <w:r>
        <w:rPr>
          <w:rFonts w:ascii="宋体" w:hAnsi="宋体" w:eastAsia="宋体" w:cs="宋体"/>
          <w:spacing w:val="0"/>
          <w:position w:val="0"/>
          <w:sz w:val="84"/>
          <w:szCs w:val="84"/>
          <w14:textOutline w14:w="15240" w14:cap="flat" w14:cmpd="sng">
            <w14:solidFill>
              <w14:srgbClr w14:val="000000"/>
            </w14:solidFill>
            <w14:prstDash w14:val="solid"/>
            <w14:miter w14:val="0"/>
          </w14:textOutline>
        </w:rPr>
        <w:t>文</w:t>
      </w:r>
      <w:r>
        <w:rPr>
          <w:rFonts w:ascii="宋体" w:hAnsi="宋体" w:eastAsia="宋体" w:cs="宋体"/>
          <w:spacing w:val="0"/>
          <w:position w:val="0"/>
          <w:sz w:val="84"/>
          <w:szCs w:val="84"/>
        </w:rPr>
        <w:t xml:space="preserve"> </w:t>
      </w:r>
      <w:r>
        <w:rPr>
          <w:rFonts w:ascii="宋体" w:hAnsi="宋体" w:eastAsia="宋体" w:cs="宋体"/>
          <w:spacing w:val="0"/>
          <w:position w:val="0"/>
          <w:sz w:val="84"/>
          <w:szCs w:val="84"/>
          <w14:textOutline w14:w="15240" w14:cap="flat" w14:cmpd="sng">
            <w14:solidFill>
              <w14:srgbClr w14:val="000000"/>
            </w14:solidFill>
            <w14:prstDash w14:val="solid"/>
            <w14:miter w14:val="0"/>
          </w14:textOutline>
        </w:rPr>
        <w:t>件</w:t>
      </w:r>
    </w:p>
    <w:p w14:paraId="6CB4907A">
      <w:pPr>
        <w:spacing w:line="339" w:lineRule="auto"/>
        <w:rPr>
          <w:rFonts w:ascii="Arial"/>
          <w:spacing w:val="0"/>
          <w:position w:val="0"/>
          <w:sz w:val="21"/>
        </w:rPr>
      </w:pPr>
    </w:p>
    <w:p w14:paraId="0EDCEE5C">
      <w:pPr>
        <w:spacing w:line="339" w:lineRule="auto"/>
        <w:rPr>
          <w:rFonts w:ascii="Arial"/>
          <w:spacing w:val="0"/>
          <w:position w:val="0"/>
          <w:sz w:val="21"/>
        </w:rPr>
      </w:pPr>
    </w:p>
    <w:p w14:paraId="33A1F0A3">
      <w:pPr>
        <w:rPr>
          <w:rFonts w:ascii="Arial"/>
          <w:spacing w:val="0"/>
          <w:position w:val="0"/>
          <w:sz w:val="21"/>
        </w:rPr>
      </w:pPr>
    </w:p>
    <w:p w14:paraId="4F0C2F59">
      <w:pPr>
        <w:rPr>
          <w:rFonts w:ascii="Arial"/>
          <w:spacing w:val="0"/>
          <w:position w:val="0"/>
          <w:sz w:val="21"/>
        </w:rPr>
      </w:pPr>
    </w:p>
    <w:p w14:paraId="10349368">
      <w:pPr>
        <w:rPr>
          <w:rFonts w:ascii="Arial"/>
          <w:spacing w:val="0"/>
          <w:position w:val="0"/>
          <w:sz w:val="21"/>
        </w:rPr>
      </w:pPr>
    </w:p>
    <w:p w14:paraId="33CFD89A">
      <w:pPr>
        <w:rPr>
          <w:rFonts w:ascii="Arial"/>
          <w:spacing w:val="0"/>
          <w:position w:val="0"/>
          <w:sz w:val="21"/>
        </w:rPr>
      </w:pPr>
    </w:p>
    <w:p w14:paraId="5995FC1C">
      <w:pPr>
        <w:rPr>
          <w:rFonts w:ascii="Arial"/>
          <w:spacing w:val="0"/>
          <w:position w:val="0"/>
          <w:sz w:val="21"/>
        </w:rPr>
      </w:pPr>
    </w:p>
    <w:p w14:paraId="34DC46F0">
      <w:pPr>
        <w:rPr>
          <w:rFonts w:ascii="Arial"/>
          <w:spacing w:val="0"/>
          <w:position w:val="0"/>
          <w:sz w:val="21"/>
        </w:rPr>
      </w:pPr>
    </w:p>
    <w:p w14:paraId="02CFABD5">
      <w:pPr>
        <w:rPr>
          <w:rFonts w:ascii="Arial"/>
          <w:spacing w:val="0"/>
          <w:position w:val="0"/>
          <w:sz w:val="21"/>
        </w:rPr>
      </w:pPr>
    </w:p>
    <w:p w14:paraId="337EC243">
      <w:pPr>
        <w:rPr>
          <w:rFonts w:ascii="Arial"/>
          <w:spacing w:val="0"/>
          <w:position w:val="0"/>
          <w:sz w:val="21"/>
        </w:rPr>
      </w:pPr>
    </w:p>
    <w:p w14:paraId="2CDCA8D8">
      <w:pPr>
        <w:rPr>
          <w:rFonts w:ascii="Arial"/>
          <w:spacing w:val="0"/>
          <w:position w:val="0"/>
          <w:sz w:val="21"/>
        </w:rPr>
      </w:pPr>
    </w:p>
    <w:p w14:paraId="59E07347">
      <w:pPr>
        <w:rPr>
          <w:rFonts w:ascii="Arial"/>
          <w:spacing w:val="0"/>
          <w:position w:val="0"/>
          <w:sz w:val="21"/>
        </w:rPr>
      </w:pPr>
    </w:p>
    <w:p w14:paraId="6632D061">
      <w:pPr>
        <w:spacing w:line="295" w:lineRule="auto"/>
        <w:rPr>
          <w:rFonts w:ascii="Arial"/>
          <w:sz w:val="21"/>
        </w:rPr>
      </w:pPr>
    </w:p>
    <w:p w14:paraId="2ED04301">
      <w:pPr>
        <w:spacing w:line="295" w:lineRule="auto"/>
        <w:rPr>
          <w:rFonts w:ascii="Arial"/>
          <w:sz w:val="21"/>
        </w:rPr>
      </w:pPr>
    </w:p>
    <w:p w14:paraId="5F2534DC">
      <w:pPr>
        <w:spacing w:line="295" w:lineRule="auto"/>
        <w:rPr>
          <w:rFonts w:ascii="Arial"/>
          <w:sz w:val="21"/>
        </w:rPr>
      </w:pPr>
    </w:p>
    <w:p w14:paraId="5BE13872">
      <w:pPr>
        <w:spacing w:before="272" w:line="204" w:lineRule="auto"/>
        <w:ind w:left="853"/>
        <w:rPr>
          <w:rFonts w:ascii="微软雅黑" w:hAnsi="微软雅黑" w:eastAsia="微软雅黑" w:cs="微软雅黑"/>
          <w:sz w:val="35"/>
          <w:szCs w:val="35"/>
        </w:rPr>
      </w:pPr>
      <w:r>
        <w:rPr>
          <w:rFonts w:ascii="微软雅黑" w:hAnsi="微软雅黑" w:eastAsia="微软雅黑" w:cs="微软雅黑"/>
          <w:spacing w:val="9"/>
          <w:sz w:val="35"/>
          <w:szCs w:val="35"/>
        </w:rPr>
        <w:t>项目编号：</w:t>
      </w:r>
      <w:r>
        <w:rPr>
          <w:rFonts w:hint="eastAsia" w:ascii="微软雅黑" w:hAnsi="微软雅黑" w:eastAsia="微软雅黑" w:cs="微软雅黑"/>
          <w:spacing w:val="9"/>
          <w:sz w:val="35"/>
          <w:szCs w:val="35"/>
        </w:rPr>
        <w:t>登封采购-2026-42</w:t>
      </w:r>
    </w:p>
    <w:p w14:paraId="6AA9C45F">
      <w:pPr>
        <w:spacing w:before="272" w:line="205" w:lineRule="auto"/>
        <w:ind w:left="853"/>
        <w:rPr>
          <w:rFonts w:ascii="微软雅黑" w:hAnsi="微软雅黑" w:eastAsia="微软雅黑" w:cs="微软雅黑"/>
          <w:sz w:val="35"/>
          <w:szCs w:val="35"/>
        </w:rPr>
      </w:pPr>
      <w:r>
        <w:rPr>
          <w:rFonts w:ascii="微软雅黑" w:hAnsi="微软雅黑" w:eastAsia="微软雅黑" w:cs="微软雅黑"/>
          <w:spacing w:val="1"/>
          <w:sz w:val="35"/>
          <w:szCs w:val="35"/>
        </w:rPr>
        <w:t>采</w:t>
      </w:r>
      <w:r>
        <w:rPr>
          <w:rFonts w:ascii="微软雅黑" w:hAnsi="微软雅黑" w:eastAsia="微软雅黑" w:cs="微软雅黑"/>
          <w:spacing w:val="88"/>
          <w:sz w:val="35"/>
          <w:szCs w:val="35"/>
        </w:rPr>
        <w:t xml:space="preserve"> </w:t>
      </w:r>
      <w:r>
        <w:rPr>
          <w:rFonts w:ascii="微软雅黑" w:hAnsi="微软雅黑" w:eastAsia="微软雅黑" w:cs="微软雅黑"/>
          <w:spacing w:val="1"/>
          <w:sz w:val="35"/>
          <w:szCs w:val="35"/>
        </w:rPr>
        <w:t>购</w:t>
      </w:r>
      <w:r>
        <w:rPr>
          <w:rFonts w:ascii="微软雅黑" w:hAnsi="微软雅黑" w:eastAsia="微软雅黑" w:cs="微软雅黑"/>
          <w:spacing w:val="82"/>
          <w:sz w:val="35"/>
          <w:szCs w:val="35"/>
        </w:rPr>
        <w:t xml:space="preserve"> </w:t>
      </w:r>
      <w:r>
        <w:rPr>
          <w:rFonts w:ascii="微软雅黑" w:hAnsi="微软雅黑" w:eastAsia="微软雅黑" w:cs="微软雅黑"/>
          <w:spacing w:val="1"/>
          <w:sz w:val="35"/>
          <w:szCs w:val="35"/>
        </w:rPr>
        <w:t>人：</w:t>
      </w:r>
      <w:r>
        <w:rPr>
          <w:rFonts w:hint="eastAsia" w:ascii="微软雅黑" w:hAnsi="微软雅黑" w:eastAsia="微软雅黑" w:cs="微软雅黑"/>
          <w:spacing w:val="1"/>
          <w:sz w:val="35"/>
          <w:szCs w:val="35"/>
        </w:rPr>
        <w:t>登封市疾病预防控制中心</w:t>
      </w:r>
    </w:p>
    <w:p w14:paraId="5754AED5">
      <w:pPr>
        <w:spacing w:before="269" w:line="205" w:lineRule="auto"/>
        <w:ind w:left="853"/>
        <w:rPr>
          <w:rFonts w:ascii="微软雅黑" w:hAnsi="微软雅黑" w:eastAsia="微软雅黑" w:cs="微软雅黑"/>
          <w:sz w:val="35"/>
          <w:szCs w:val="35"/>
        </w:rPr>
      </w:pPr>
      <w:r>
        <w:rPr>
          <w:rFonts w:ascii="微软雅黑" w:hAnsi="微软雅黑" w:eastAsia="微软雅黑" w:cs="微软雅黑"/>
          <w:spacing w:val="7"/>
          <w:sz w:val="35"/>
          <w:szCs w:val="35"/>
        </w:rPr>
        <w:t>采购代理机构：</w:t>
      </w:r>
      <w:r>
        <w:rPr>
          <w:rFonts w:hint="eastAsia" w:ascii="微软雅黑" w:hAnsi="微软雅黑" w:eastAsia="微软雅黑" w:cs="微软雅黑"/>
          <w:spacing w:val="7"/>
          <w:sz w:val="35"/>
          <w:szCs w:val="35"/>
        </w:rPr>
        <w:t>河南晖泽工程咨询有限公司</w:t>
      </w:r>
    </w:p>
    <w:p w14:paraId="7A26A599">
      <w:pPr>
        <w:spacing w:line="205" w:lineRule="auto"/>
        <w:rPr>
          <w:rFonts w:ascii="微软雅黑" w:hAnsi="微软雅黑" w:eastAsia="微软雅黑" w:cs="微软雅黑"/>
          <w:sz w:val="35"/>
          <w:szCs w:val="35"/>
        </w:rPr>
        <w:sectPr>
          <w:pgSz w:w="11905" w:h="16838"/>
          <w:pgMar w:top="1361" w:right="1417" w:bottom="1247" w:left="1417" w:header="839" w:footer="884" w:gutter="0"/>
          <w:cols w:space="0" w:num="1"/>
          <w:rtlGutter w:val="0"/>
          <w:docGrid w:linePitch="0" w:charSpace="0"/>
        </w:sectPr>
      </w:pPr>
    </w:p>
    <w:p w14:paraId="474FD00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sz w:val="28"/>
          <w:szCs w:val="28"/>
        </w:rPr>
      </w:pPr>
      <w:bookmarkStart w:id="0" w:name="_Toc20521"/>
      <w:r>
        <w:rPr>
          <w:b/>
          <w:bCs/>
          <w:spacing w:val="-33"/>
          <w:sz w:val="28"/>
          <w:szCs w:val="28"/>
        </w:rPr>
        <w:t>目</w:t>
      </w:r>
      <w:r>
        <w:rPr>
          <w:rFonts w:hint="eastAsia"/>
          <w:b/>
          <w:bCs/>
          <w:spacing w:val="6"/>
          <w:sz w:val="28"/>
          <w:szCs w:val="28"/>
          <w:lang w:val="en-US" w:eastAsia="zh-CN"/>
        </w:rPr>
        <w:t xml:space="preserve">  </w:t>
      </w:r>
      <w:r>
        <w:rPr>
          <w:b/>
          <w:bCs/>
          <w:spacing w:val="-33"/>
          <w:sz w:val="28"/>
          <w:szCs w:val="28"/>
        </w:rPr>
        <w:t>录</w:t>
      </w:r>
      <w:bookmarkEnd w:id="0"/>
    </w:p>
    <w:p w14:paraId="3913429E">
      <w:pPr>
        <w:pStyle w:val="10"/>
        <w:tabs>
          <w:tab w:val="right" w:leader="dot" w:pos="9071"/>
        </w:tabs>
      </w:pPr>
      <w:r>
        <w:rPr>
          <w:rFonts w:ascii="Arial" w:hAnsi="Arial" w:eastAsia="Arial" w:cs="Arial"/>
          <w:snapToGrid w:val="0"/>
          <w:color w:val="000000"/>
          <w:kern w:val="0"/>
          <w:sz w:val="21"/>
          <w:szCs w:val="21"/>
          <w:lang w:val="en-US" w:eastAsia="en-US" w:bidi="ar-SA"/>
        </w:rPr>
        <w:fldChar w:fldCharType="begin"/>
      </w:r>
      <w:r>
        <w:rPr>
          <w:rFonts w:ascii="Arial" w:hAnsi="Arial" w:eastAsia="Arial" w:cs="Arial"/>
          <w:snapToGrid w:val="0"/>
          <w:color w:val="000000"/>
          <w:kern w:val="0"/>
          <w:sz w:val="21"/>
          <w:szCs w:val="21"/>
          <w:lang w:val="en-US" w:eastAsia="en-US" w:bidi="ar-SA"/>
        </w:rPr>
        <w:instrText xml:space="preserve">TOC \o "1-2" \h \u </w:instrText>
      </w:r>
      <w:r>
        <w:rPr>
          <w:rFonts w:ascii="Arial" w:hAnsi="Arial" w:eastAsia="Arial" w:cs="Arial"/>
          <w:snapToGrid w:val="0"/>
          <w:color w:val="000000"/>
          <w:kern w:val="0"/>
          <w:sz w:val="21"/>
          <w:szCs w:val="21"/>
          <w:lang w:val="en-US" w:eastAsia="en-US" w:bidi="ar-SA"/>
        </w:rPr>
        <w:fldChar w:fldCharType="separate"/>
      </w: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_Toc31286 </w:instrText>
      </w:r>
      <w:r>
        <w:rPr>
          <w:rFonts w:ascii="Arial" w:hAnsi="Arial" w:eastAsia="Arial" w:cs="Arial"/>
          <w:snapToGrid w:val="0"/>
          <w:kern w:val="0"/>
          <w:szCs w:val="21"/>
          <w:lang w:val="en-US" w:eastAsia="en-US" w:bidi="ar-SA"/>
        </w:rPr>
        <w:fldChar w:fldCharType="separate"/>
      </w:r>
      <w:r>
        <w:rPr>
          <w:bCs/>
          <w:spacing w:val="7"/>
          <w:szCs w:val="30"/>
        </w:rPr>
        <w:t>第一章</w:t>
      </w:r>
      <w:r>
        <w:rPr>
          <w:rFonts w:hint="eastAsia"/>
          <w:bCs/>
          <w:spacing w:val="7"/>
          <w:szCs w:val="30"/>
          <w:lang w:val="en-US" w:eastAsia="zh-CN"/>
        </w:rPr>
        <w:t xml:space="preserve">  </w:t>
      </w:r>
      <w:r>
        <w:rPr>
          <w:bCs/>
          <w:spacing w:val="7"/>
          <w:szCs w:val="30"/>
        </w:rPr>
        <w:t>投标邀请</w:t>
      </w:r>
      <w:r>
        <w:tab/>
      </w:r>
      <w:r>
        <w:fldChar w:fldCharType="begin"/>
      </w:r>
      <w:r>
        <w:instrText xml:space="preserve"> PAGEREF _Toc31286 \h </w:instrText>
      </w:r>
      <w:r>
        <w:fldChar w:fldCharType="separate"/>
      </w:r>
      <w:r>
        <w:t>- 1 -</w:t>
      </w:r>
      <w:r>
        <w:fldChar w:fldCharType="end"/>
      </w:r>
      <w:r>
        <w:rPr>
          <w:rFonts w:ascii="Arial" w:hAnsi="Arial" w:eastAsia="Arial" w:cs="Arial"/>
          <w:snapToGrid w:val="0"/>
          <w:color w:val="000000"/>
          <w:kern w:val="0"/>
          <w:szCs w:val="21"/>
          <w:lang w:val="en-US" w:eastAsia="en-US" w:bidi="ar-SA"/>
        </w:rPr>
        <w:fldChar w:fldCharType="end"/>
      </w:r>
    </w:p>
    <w:p w14:paraId="5C3FD438">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_Toc29281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zCs w:val="24"/>
          <w:lang w:eastAsia="zh-CN"/>
        </w:rPr>
        <w:t>一、项目基本情况</w:t>
      </w:r>
      <w:r>
        <w:tab/>
      </w:r>
      <w:r>
        <w:fldChar w:fldCharType="begin"/>
      </w:r>
      <w:r>
        <w:instrText xml:space="preserve"> PAGEREF _Toc29281 \h </w:instrText>
      </w:r>
      <w:r>
        <w:fldChar w:fldCharType="separate"/>
      </w:r>
      <w:r>
        <w:t>- 1 -</w:t>
      </w:r>
      <w:r>
        <w:fldChar w:fldCharType="end"/>
      </w:r>
      <w:r>
        <w:rPr>
          <w:rFonts w:ascii="Arial" w:hAnsi="Arial" w:eastAsia="Arial" w:cs="Arial"/>
          <w:snapToGrid w:val="0"/>
          <w:color w:val="000000"/>
          <w:kern w:val="0"/>
          <w:szCs w:val="21"/>
          <w:lang w:val="en-US" w:eastAsia="en-US" w:bidi="ar-SA"/>
        </w:rPr>
        <w:fldChar w:fldCharType="end"/>
      </w:r>
    </w:p>
    <w:p w14:paraId="2D4F521C">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_Toc5414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zCs w:val="24"/>
          <w:lang w:eastAsia="zh-CN"/>
        </w:rPr>
        <w:t>二、申请人资格要求：</w:t>
      </w:r>
      <w:r>
        <w:tab/>
      </w:r>
      <w:r>
        <w:fldChar w:fldCharType="begin"/>
      </w:r>
      <w:r>
        <w:instrText xml:space="preserve"> PAGEREF _Toc5414 \h </w:instrText>
      </w:r>
      <w:r>
        <w:fldChar w:fldCharType="separate"/>
      </w:r>
      <w:r>
        <w:t>- 1 -</w:t>
      </w:r>
      <w:r>
        <w:fldChar w:fldCharType="end"/>
      </w:r>
      <w:r>
        <w:rPr>
          <w:rFonts w:ascii="Arial" w:hAnsi="Arial" w:eastAsia="Arial" w:cs="Arial"/>
          <w:snapToGrid w:val="0"/>
          <w:color w:val="000000"/>
          <w:kern w:val="0"/>
          <w:szCs w:val="21"/>
          <w:lang w:val="en-US" w:eastAsia="en-US" w:bidi="ar-SA"/>
        </w:rPr>
        <w:fldChar w:fldCharType="end"/>
      </w:r>
    </w:p>
    <w:p w14:paraId="0D80524C">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_Toc29686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zCs w:val="24"/>
          <w:lang w:eastAsia="zh-CN"/>
        </w:rPr>
        <w:t>三、获取招标文件</w:t>
      </w:r>
      <w:r>
        <w:tab/>
      </w:r>
      <w:r>
        <w:fldChar w:fldCharType="begin"/>
      </w:r>
      <w:r>
        <w:instrText xml:space="preserve"> PAGEREF _Toc29686 \h </w:instrText>
      </w:r>
      <w:r>
        <w:fldChar w:fldCharType="separate"/>
      </w:r>
      <w:r>
        <w:t>- 2 -</w:t>
      </w:r>
      <w:r>
        <w:fldChar w:fldCharType="end"/>
      </w:r>
      <w:r>
        <w:rPr>
          <w:rFonts w:ascii="Arial" w:hAnsi="Arial" w:eastAsia="Arial" w:cs="Arial"/>
          <w:snapToGrid w:val="0"/>
          <w:color w:val="000000"/>
          <w:kern w:val="0"/>
          <w:szCs w:val="21"/>
          <w:lang w:val="en-US" w:eastAsia="en-US" w:bidi="ar-SA"/>
        </w:rPr>
        <w:fldChar w:fldCharType="end"/>
      </w:r>
    </w:p>
    <w:p w14:paraId="521F0D4B">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_Toc1880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zCs w:val="24"/>
          <w:lang w:eastAsia="zh-CN"/>
        </w:rPr>
        <w:t>四、投标截止时间及地点</w:t>
      </w:r>
      <w:r>
        <w:tab/>
      </w:r>
      <w:r>
        <w:fldChar w:fldCharType="begin"/>
      </w:r>
      <w:r>
        <w:instrText xml:space="preserve"> PAGEREF _Toc1880 \h </w:instrText>
      </w:r>
      <w:r>
        <w:fldChar w:fldCharType="separate"/>
      </w:r>
      <w:r>
        <w:t>- 2 -</w:t>
      </w:r>
      <w:r>
        <w:fldChar w:fldCharType="end"/>
      </w:r>
      <w:r>
        <w:rPr>
          <w:rFonts w:ascii="Arial" w:hAnsi="Arial" w:eastAsia="Arial" w:cs="Arial"/>
          <w:snapToGrid w:val="0"/>
          <w:color w:val="000000"/>
          <w:kern w:val="0"/>
          <w:szCs w:val="21"/>
          <w:lang w:val="en-US" w:eastAsia="en-US" w:bidi="ar-SA"/>
        </w:rPr>
        <w:fldChar w:fldCharType="end"/>
      </w:r>
    </w:p>
    <w:p w14:paraId="62BD912E">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_Toc28205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zCs w:val="24"/>
          <w:lang w:eastAsia="zh-CN"/>
        </w:rPr>
        <w:t>五、开标时间及地点</w:t>
      </w:r>
      <w:r>
        <w:tab/>
      </w:r>
      <w:r>
        <w:fldChar w:fldCharType="begin"/>
      </w:r>
      <w:r>
        <w:instrText xml:space="preserve"> PAGEREF _Toc28205 \h </w:instrText>
      </w:r>
      <w:r>
        <w:fldChar w:fldCharType="separate"/>
      </w:r>
      <w:r>
        <w:t>- 2 -</w:t>
      </w:r>
      <w:r>
        <w:fldChar w:fldCharType="end"/>
      </w:r>
      <w:r>
        <w:rPr>
          <w:rFonts w:ascii="Arial" w:hAnsi="Arial" w:eastAsia="Arial" w:cs="Arial"/>
          <w:snapToGrid w:val="0"/>
          <w:color w:val="000000"/>
          <w:kern w:val="0"/>
          <w:szCs w:val="21"/>
          <w:lang w:val="en-US" w:eastAsia="en-US" w:bidi="ar-SA"/>
        </w:rPr>
        <w:fldChar w:fldCharType="end"/>
      </w:r>
    </w:p>
    <w:p w14:paraId="465EB2A1">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_Toc1387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zCs w:val="24"/>
          <w:lang w:eastAsia="zh-CN"/>
        </w:rPr>
        <w:t>六、发布公告的媒介及招标公告期限</w:t>
      </w:r>
      <w:r>
        <w:tab/>
      </w:r>
      <w:r>
        <w:fldChar w:fldCharType="begin"/>
      </w:r>
      <w:r>
        <w:instrText xml:space="preserve"> PAGEREF _Toc1387 \h </w:instrText>
      </w:r>
      <w:r>
        <w:fldChar w:fldCharType="separate"/>
      </w:r>
      <w:r>
        <w:t>- 2 -</w:t>
      </w:r>
      <w:r>
        <w:fldChar w:fldCharType="end"/>
      </w:r>
      <w:r>
        <w:rPr>
          <w:rFonts w:ascii="Arial" w:hAnsi="Arial" w:eastAsia="Arial" w:cs="Arial"/>
          <w:snapToGrid w:val="0"/>
          <w:color w:val="000000"/>
          <w:kern w:val="0"/>
          <w:szCs w:val="21"/>
          <w:lang w:val="en-US" w:eastAsia="en-US" w:bidi="ar-SA"/>
        </w:rPr>
        <w:fldChar w:fldCharType="end"/>
      </w:r>
    </w:p>
    <w:p w14:paraId="6C6FCAF1">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_Toc4206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zCs w:val="24"/>
          <w:lang w:eastAsia="zh-CN"/>
        </w:rPr>
        <w:t>七、其他补充事宜</w:t>
      </w:r>
      <w:r>
        <w:tab/>
      </w:r>
      <w:r>
        <w:fldChar w:fldCharType="begin"/>
      </w:r>
      <w:r>
        <w:instrText xml:space="preserve"> PAGEREF _Toc4206 \h </w:instrText>
      </w:r>
      <w:r>
        <w:fldChar w:fldCharType="separate"/>
      </w:r>
      <w:r>
        <w:t>- 2 -</w:t>
      </w:r>
      <w:r>
        <w:fldChar w:fldCharType="end"/>
      </w:r>
      <w:r>
        <w:rPr>
          <w:rFonts w:ascii="Arial" w:hAnsi="Arial" w:eastAsia="Arial" w:cs="Arial"/>
          <w:snapToGrid w:val="0"/>
          <w:color w:val="000000"/>
          <w:kern w:val="0"/>
          <w:szCs w:val="21"/>
          <w:lang w:val="en-US" w:eastAsia="en-US" w:bidi="ar-SA"/>
        </w:rPr>
        <w:fldChar w:fldCharType="end"/>
      </w:r>
    </w:p>
    <w:p w14:paraId="216FC852">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_Toc8547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zCs w:val="24"/>
          <w:lang w:eastAsia="zh-CN"/>
        </w:rPr>
        <w:t>八、凡对本次采购提出询问，请按照以下方式联系</w:t>
      </w:r>
      <w:r>
        <w:tab/>
      </w:r>
      <w:r>
        <w:fldChar w:fldCharType="begin"/>
      </w:r>
      <w:r>
        <w:instrText xml:space="preserve"> PAGEREF _Toc8547 \h </w:instrText>
      </w:r>
      <w:r>
        <w:fldChar w:fldCharType="separate"/>
      </w:r>
      <w:r>
        <w:t>- 3 -</w:t>
      </w:r>
      <w:r>
        <w:fldChar w:fldCharType="end"/>
      </w:r>
      <w:r>
        <w:rPr>
          <w:rFonts w:ascii="Arial" w:hAnsi="Arial" w:eastAsia="Arial" w:cs="Arial"/>
          <w:snapToGrid w:val="0"/>
          <w:color w:val="000000"/>
          <w:kern w:val="0"/>
          <w:szCs w:val="21"/>
          <w:lang w:val="en-US" w:eastAsia="en-US" w:bidi="ar-SA"/>
        </w:rPr>
        <w:fldChar w:fldCharType="end"/>
      </w:r>
    </w:p>
    <w:p w14:paraId="1D63E93A">
      <w:pPr>
        <w:pStyle w:val="10"/>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_Toc11256 </w:instrText>
      </w:r>
      <w:r>
        <w:rPr>
          <w:rFonts w:ascii="Arial" w:hAnsi="Arial" w:eastAsia="Arial" w:cs="Arial"/>
          <w:snapToGrid w:val="0"/>
          <w:kern w:val="0"/>
          <w:szCs w:val="21"/>
          <w:lang w:val="en-US" w:eastAsia="en-US" w:bidi="ar-SA"/>
        </w:rPr>
        <w:fldChar w:fldCharType="separate"/>
      </w:r>
      <w:r>
        <w:rPr>
          <w:bCs/>
          <w:spacing w:val="7"/>
          <w:szCs w:val="30"/>
        </w:rPr>
        <w:t>第二章</w:t>
      </w:r>
      <w:r>
        <w:rPr>
          <w:rFonts w:hint="eastAsia"/>
          <w:bCs/>
          <w:spacing w:val="7"/>
          <w:szCs w:val="30"/>
          <w:lang w:val="en-US" w:eastAsia="zh-CN"/>
        </w:rPr>
        <w:t xml:space="preserve">  </w:t>
      </w:r>
      <w:r>
        <w:rPr>
          <w:bCs/>
          <w:spacing w:val="7"/>
          <w:szCs w:val="30"/>
        </w:rPr>
        <w:t>投标人须知</w:t>
      </w:r>
      <w:r>
        <w:tab/>
      </w:r>
      <w:r>
        <w:fldChar w:fldCharType="begin"/>
      </w:r>
      <w:r>
        <w:instrText xml:space="preserve"> PAGEREF _Toc11256 \h </w:instrText>
      </w:r>
      <w:r>
        <w:fldChar w:fldCharType="separate"/>
      </w:r>
      <w:r>
        <w:t>- 4 -</w:t>
      </w:r>
      <w:r>
        <w:fldChar w:fldCharType="end"/>
      </w:r>
      <w:r>
        <w:rPr>
          <w:rFonts w:ascii="Arial" w:hAnsi="Arial" w:eastAsia="Arial" w:cs="Arial"/>
          <w:snapToGrid w:val="0"/>
          <w:color w:val="000000"/>
          <w:kern w:val="0"/>
          <w:szCs w:val="21"/>
          <w:lang w:val="en-US" w:eastAsia="en-US" w:bidi="ar-SA"/>
        </w:rPr>
        <w:fldChar w:fldCharType="end"/>
      </w:r>
    </w:p>
    <w:p w14:paraId="4C08A2BA">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_Toc6537 </w:instrText>
      </w:r>
      <w:r>
        <w:rPr>
          <w:rFonts w:ascii="Arial" w:hAnsi="Arial" w:eastAsia="Arial" w:cs="Arial"/>
          <w:snapToGrid w:val="0"/>
          <w:kern w:val="0"/>
          <w:szCs w:val="21"/>
          <w:lang w:val="en-US" w:eastAsia="en-US" w:bidi="ar-SA"/>
        </w:rPr>
        <w:fldChar w:fldCharType="separate"/>
      </w:r>
      <w:r>
        <w:rPr>
          <w:bCs/>
          <w:szCs w:val="28"/>
        </w:rPr>
        <w:t>投标人须知资料表</w:t>
      </w:r>
      <w:r>
        <w:tab/>
      </w:r>
      <w:r>
        <w:fldChar w:fldCharType="begin"/>
      </w:r>
      <w:r>
        <w:instrText xml:space="preserve"> PAGEREF _Toc6537 \h </w:instrText>
      </w:r>
      <w:r>
        <w:fldChar w:fldCharType="separate"/>
      </w:r>
      <w:r>
        <w:t>- 4 -</w:t>
      </w:r>
      <w:r>
        <w:fldChar w:fldCharType="end"/>
      </w:r>
      <w:r>
        <w:rPr>
          <w:rFonts w:ascii="Arial" w:hAnsi="Arial" w:eastAsia="Arial" w:cs="Arial"/>
          <w:snapToGrid w:val="0"/>
          <w:color w:val="000000"/>
          <w:kern w:val="0"/>
          <w:szCs w:val="21"/>
          <w:lang w:val="en-US" w:eastAsia="en-US" w:bidi="ar-SA"/>
        </w:rPr>
        <w:fldChar w:fldCharType="end"/>
      </w:r>
    </w:p>
    <w:p w14:paraId="6BCD4C54">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_Toc6105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pacing w:val="-1"/>
          <w:szCs w:val="24"/>
        </w:rPr>
        <w:t>一</w:t>
      </w:r>
      <w:r>
        <w:rPr>
          <w:rFonts w:hint="eastAsia" w:ascii="宋体" w:hAnsi="宋体" w:eastAsia="宋体" w:cs="宋体"/>
          <w:bCs/>
          <w:spacing w:val="-1"/>
          <w:szCs w:val="24"/>
          <w:lang w:eastAsia="zh-CN"/>
        </w:rPr>
        <w:t>、</w:t>
      </w:r>
      <w:r>
        <w:rPr>
          <w:rFonts w:hint="eastAsia" w:ascii="宋体" w:hAnsi="宋体" w:eastAsia="宋体" w:cs="宋体"/>
          <w:bCs/>
          <w:spacing w:val="-1"/>
          <w:szCs w:val="24"/>
        </w:rPr>
        <w:t>说明</w:t>
      </w:r>
      <w:r>
        <w:tab/>
      </w:r>
      <w:r>
        <w:fldChar w:fldCharType="begin"/>
      </w:r>
      <w:r>
        <w:instrText xml:space="preserve"> PAGEREF _Toc6105 \h </w:instrText>
      </w:r>
      <w:r>
        <w:fldChar w:fldCharType="separate"/>
      </w:r>
      <w:r>
        <w:t>- 7 -</w:t>
      </w:r>
      <w:r>
        <w:fldChar w:fldCharType="end"/>
      </w:r>
      <w:r>
        <w:rPr>
          <w:rFonts w:ascii="Arial" w:hAnsi="Arial" w:eastAsia="Arial" w:cs="Arial"/>
          <w:snapToGrid w:val="0"/>
          <w:color w:val="000000"/>
          <w:kern w:val="0"/>
          <w:szCs w:val="21"/>
          <w:lang w:val="en-US" w:eastAsia="en-US" w:bidi="ar-SA"/>
        </w:rPr>
        <w:fldChar w:fldCharType="end"/>
      </w:r>
    </w:p>
    <w:p w14:paraId="132D14CB">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_Toc15119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pacing w:val="-1"/>
          <w:szCs w:val="24"/>
        </w:rPr>
        <w:t>二</w:t>
      </w:r>
      <w:r>
        <w:rPr>
          <w:rFonts w:hint="eastAsia" w:ascii="宋体" w:hAnsi="宋体" w:eastAsia="宋体" w:cs="宋体"/>
          <w:bCs/>
          <w:spacing w:val="-1"/>
          <w:szCs w:val="24"/>
          <w:lang w:eastAsia="zh-CN"/>
        </w:rPr>
        <w:t>、</w:t>
      </w:r>
      <w:r>
        <w:rPr>
          <w:rFonts w:hint="eastAsia" w:ascii="宋体" w:hAnsi="宋体" w:eastAsia="宋体" w:cs="宋体"/>
          <w:bCs/>
          <w:spacing w:val="-1"/>
          <w:szCs w:val="24"/>
        </w:rPr>
        <w:t>招标文件</w:t>
      </w:r>
      <w:r>
        <w:tab/>
      </w:r>
      <w:r>
        <w:fldChar w:fldCharType="begin"/>
      </w:r>
      <w:r>
        <w:instrText xml:space="preserve"> PAGEREF _Toc15119 \h </w:instrText>
      </w:r>
      <w:r>
        <w:fldChar w:fldCharType="separate"/>
      </w:r>
      <w:r>
        <w:t>- 10 -</w:t>
      </w:r>
      <w:r>
        <w:fldChar w:fldCharType="end"/>
      </w:r>
      <w:r>
        <w:rPr>
          <w:rFonts w:ascii="Arial" w:hAnsi="Arial" w:eastAsia="Arial" w:cs="Arial"/>
          <w:snapToGrid w:val="0"/>
          <w:color w:val="000000"/>
          <w:kern w:val="0"/>
          <w:szCs w:val="21"/>
          <w:lang w:val="en-US" w:eastAsia="en-US" w:bidi="ar-SA"/>
        </w:rPr>
        <w:fldChar w:fldCharType="end"/>
      </w:r>
    </w:p>
    <w:p w14:paraId="66E266CD">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_Toc23913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pacing w:val="-1"/>
          <w:szCs w:val="24"/>
        </w:rPr>
        <w:t>三</w:t>
      </w:r>
      <w:r>
        <w:rPr>
          <w:rFonts w:hint="eastAsia" w:ascii="宋体" w:hAnsi="宋体" w:eastAsia="宋体" w:cs="宋体"/>
          <w:bCs/>
          <w:spacing w:val="-1"/>
          <w:szCs w:val="24"/>
          <w:lang w:eastAsia="zh-CN"/>
        </w:rPr>
        <w:t>、</w:t>
      </w:r>
      <w:r>
        <w:rPr>
          <w:rFonts w:hint="eastAsia" w:ascii="宋体" w:hAnsi="宋体" w:eastAsia="宋体" w:cs="宋体"/>
          <w:bCs/>
          <w:spacing w:val="-1"/>
          <w:szCs w:val="24"/>
        </w:rPr>
        <w:t>投标文件的编制</w:t>
      </w:r>
      <w:r>
        <w:tab/>
      </w:r>
      <w:r>
        <w:fldChar w:fldCharType="begin"/>
      </w:r>
      <w:r>
        <w:instrText xml:space="preserve"> PAGEREF _Toc23913 \h </w:instrText>
      </w:r>
      <w:r>
        <w:fldChar w:fldCharType="separate"/>
      </w:r>
      <w:r>
        <w:t>- 10 -</w:t>
      </w:r>
      <w:r>
        <w:fldChar w:fldCharType="end"/>
      </w:r>
      <w:r>
        <w:rPr>
          <w:rFonts w:ascii="Arial" w:hAnsi="Arial" w:eastAsia="Arial" w:cs="Arial"/>
          <w:snapToGrid w:val="0"/>
          <w:color w:val="000000"/>
          <w:kern w:val="0"/>
          <w:szCs w:val="21"/>
          <w:lang w:val="en-US" w:eastAsia="en-US" w:bidi="ar-SA"/>
        </w:rPr>
        <w:fldChar w:fldCharType="end"/>
      </w:r>
    </w:p>
    <w:p w14:paraId="7028EABE">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_Toc24347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pacing w:val="-1"/>
          <w:szCs w:val="24"/>
        </w:rPr>
        <w:t>四</w:t>
      </w:r>
      <w:r>
        <w:rPr>
          <w:rFonts w:hint="eastAsia" w:ascii="宋体" w:hAnsi="宋体" w:eastAsia="宋体" w:cs="宋体"/>
          <w:bCs/>
          <w:spacing w:val="-1"/>
          <w:szCs w:val="24"/>
          <w:lang w:eastAsia="zh-CN"/>
        </w:rPr>
        <w:t>、</w:t>
      </w:r>
      <w:r>
        <w:rPr>
          <w:rFonts w:hint="eastAsia" w:ascii="宋体" w:hAnsi="宋体" w:eastAsia="宋体" w:cs="宋体"/>
          <w:bCs/>
          <w:spacing w:val="-1"/>
          <w:szCs w:val="24"/>
        </w:rPr>
        <w:t>投标文件的提交</w:t>
      </w:r>
      <w:r>
        <w:tab/>
      </w:r>
      <w:r>
        <w:fldChar w:fldCharType="begin"/>
      </w:r>
      <w:r>
        <w:instrText xml:space="preserve"> PAGEREF _Toc24347 \h </w:instrText>
      </w:r>
      <w:r>
        <w:fldChar w:fldCharType="separate"/>
      </w:r>
      <w:r>
        <w:t>- 12 -</w:t>
      </w:r>
      <w:r>
        <w:fldChar w:fldCharType="end"/>
      </w:r>
      <w:r>
        <w:rPr>
          <w:rFonts w:ascii="Arial" w:hAnsi="Arial" w:eastAsia="Arial" w:cs="Arial"/>
          <w:snapToGrid w:val="0"/>
          <w:color w:val="000000"/>
          <w:kern w:val="0"/>
          <w:szCs w:val="21"/>
          <w:lang w:val="en-US" w:eastAsia="en-US" w:bidi="ar-SA"/>
        </w:rPr>
        <w:fldChar w:fldCharType="end"/>
      </w:r>
    </w:p>
    <w:p w14:paraId="6A68196C">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_Toc14779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pacing w:val="-1"/>
          <w:szCs w:val="24"/>
        </w:rPr>
        <w:t>五</w:t>
      </w:r>
      <w:r>
        <w:rPr>
          <w:rFonts w:hint="eastAsia" w:ascii="宋体" w:hAnsi="宋体" w:eastAsia="宋体" w:cs="宋体"/>
          <w:bCs/>
          <w:spacing w:val="-1"/>
          <w:szCs w:val="24"/>
          <w:lang w:eastAsia="zh-CN"/>
        </w:rPr>
        <w:t>、</w:t>
      </w:r>
      <w:r>
        <w:rPr>
          <w:rFonts w:hint="eastAsia" w:ascii="宋体" w:hAnsi="宋体" w:eastAsia="宋体" w:cs="宋体"/>
          <w:bCs/>
          <w:spacing w:val="-1"/>
          <w:szCs w:val="24"/>
        </w:rPr>
        <w:t>开标、资格审查及评标</w:t>
      </w:r>
      <w:r>
        <w:tab/>
      </w:r>
      <w:r>
        <w:fldChar w:fldCharType="begin"/>
      </w:r>
      <w:r>
        <w:instrText xml:space="preserve"> PAGEREF _Toc14779 \h </w:instrText>
      </w:r>
      <w:r>
        <w:fldChar w:fldCharType="separate"/>
      </w:r>
      <w:r>
        <w:t>- 13 -</w:t>
      </w:r>
      <w:r>
        <w:fldChar w:fldCharType="end"/>
      </w:r>
      <w:r>
        <w:rPr>
          <w:rFonts w:ascii="Arial" w:hAnsi="Arial" w:eastAsia="Arial" w:cs="Arial"/>
          <w:snapToGrid w:val="0"/>
          <w:color w:val="000000"/>
          <w:kern w:val="0"/>
          <w:szCs w:val="21"/>
          <w:lang w:val="en-US" w:eastAsia="en-US" w:bidi="ar-SA"/>
        </w:rPr>
        <w:fldChar w:fldCharType="end"/>
      </w:r>
    </w:p>
    <w:p w14:paraId="1E0EAFE8">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_Toc31973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pacing w:val="-1"/>
          <w:szCs w:val="24"/>
        </w:rPr>
        <w:t>六</w:t>
      </w:r>
      <w:r>
        <w:rPr>
          <w:rFonts w:hint="eastAsia" w:ascii="宋体" w:hAnsi="宋体" w:eastAsia="宋体" w:cs="宋体"/>
          <w:bCs/>
          <w:spacing w:val="-1"/>
          <w:szCs w:val="24"/>
          <w:lang w:eastAsia="zh-CN"/>
        </w:rPr>
        <w:t>、</w:t>
      </w:r>
      <w:r>
        <w:rPr>
          <w:rFonts w:hint="eastAsia" w:ascii="宋体" w:hAnsi="宋体" w:eastAsia="宋体" w:cs="宋体"/>
          <w:bCs/>
          <w:spacing w:val="-1"/>
          <w:szCs w:val="24"/>
        </w:rPr>
        <w:t>确定中标</w:t>
      </w:r>
      <w:r>
        <w:tab/>
      </w:r>
      <w:r>
        <w:fldChar w:fldCharType="begin"/>
      </w:r>
      <w:r>
        <w:instrText xml:space="preserve"> PAGEREF _Toc31973 \h </w:instrText>
      </w:r>
      <w:r>
        <w:fldChar w:fldCharType="separate"/>
      </w:r>
      <w:r>
        <w:t>- 13 -</w:t>
      </w:r>
      <w:r>
        <w:fldChar w:fldCharType="end"/>
      </w:r>
      <w:r>
        <w:rPr>
          <w:rFonts w:ascii="Arial" w:hAnsi="Arial" w:eastAsia="Arial" w:cs="Arial"/>
          <w:snapToGrid w:val="0"/>
          <w:color w:val="000000"/>
          <w:kern w:val="0"/>
          <w:szCs w:val="21"/>
          <w:lang w:val="en-US" w:eastAsia="en-US" w:bidi="ar-SA"/>
        </w:rPr>
        <w:fldChar w:fldCharType="end"/>
      </w:r>
    </w:p>
    <w:p w14:paraId="0A0C69CD">
      <w:pPr>
        <w:pStyle w:val="10"/>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_Toc9141 </w:instrText>
      </w:r>
      <w:r>
        <w:rPr>
          <w:rFonts w:ascii="Arial" w:hAnsi="Arial" w:eastAsia="Arial" w:cs="Arial"/>
          <w:snapToGrid w:val="0"/>
          <w:kern w:val="0"/>
          <w:szCs w:val="21"/>
          <w:lang w:val="en-US" w:eastAsia="en-US" w:bidi="ar-SA"/>
        </w:rPr>
        <w:fldChar w:fldCharType="separate"/>
      </w:r>
      <w:r>
        <w:rPr>
          <w:bCs/>
          <w:spacing w:val="7"/>
          <w:szCs w:val="30"/>
        </w:rPr>
        <w:t>第三章</w:t>
      </w:r>
      <w:r>
        <w:rPr>
          <w:rFonts w:hint="eastAsia"/>
          <w:bCs/>
          <w:spacing w:val="7"/>
          <w:szCs w:val="30"/>
          <w:lang w:val="en-US" w:eastAsia="zh-CN"/>
        </w:rPr>
        <w:t xml:space="preserve">  </w:t>
      </w:r>
      <w:r>
        <w:rPr>
          <w:bCs/>
          <w:spacing w:val="7"/>
          <w:szCs w:val="30"/>
        </w:rPr>
        <w:t>资格审查</w:t>
      </w:r>
      <w:r>
        <w:tab/>
      </w:r>
      <w:r>
        <w:fldChar w:fldCharType="begin"/>
      </w:r>
      <w:r>
        <w:instrText xml:space="preserve"> PAGEREF _Toc9141 \h </w:instrText>
      </w:r>
      <w:r>
        <w:fldChar w:fldCharType="separate"/>
      </w:r>
      <w:r>
        <w:t>- 16 -</w:t>
      </w:r>
      <w:r>
        <w:fldChar w:fldCharType="end"/>
      </w:r>
      <w:r>
        <w:rPr>
          <w:rFonts w:ascii="Arial" w:hAnsi="Arial" w:eastAsia="Arial" w:cs="Arial"/>
          <w:snapToGrid w:val="0"/>
          <w:color w:val="000000"/>
          <w:kern w:val="0"/>
          <w:szCs w:val="21"/>
          <w:lang w:val="en-US" w:eastAsia="en-US" w:bidi="ar-SA"/>
        </w:rPr>
        <w:fldChar w:fldCharType="end"/>
      </w:r>
    </w:p>
    <w:p w14:paraId="3DAB8F33">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_Toc25100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pacing w:val="-1"/>
          <w:szCs w:val="24"/>
        </w:rPr>
        <w:t>一、资格审查程序</w:t>
      </w:r>
      <w:r>
        <w:tab/>
      </w:r>
      <w:r>
        <w:fldChar w:fldCharType="begin"/>
      </w:r>
      <w:r>
        <w:instrText xml:space="preserve"> PAGEREF _Toc25100 \h </w:instrText>
      </w:r>
      <w:r>
        <w:fldChar w:fldCharType="separate"/>
      </w:r>
      <w:r>
        <w:t>- 16 -</w:t>
      </w:r>
      <w:r>
        <w:fldChar w:fldCharType="end"/>
      </w:r>
      <w:r>
        <w:rPr>
          <w:rFonts w:ascii="Arial" w:hAnsi="Arial" w:eastAsia="Arial" w:cs="Arial"/>
          <w:snapToGrid w:val="0"/>
          <w:color w:val="000000"/>
          <w:kern w:val="0"/>
          <w:szCs w:val="21"/>
          <w:lang w:val="en-US" w:eastAsia="en-US" w:bidi="ar-SA"/>
        </w:rPr>
        <w:fldChar w:fldCharType="end"/>
      </w:r>
    </w:p>
    <w:p w14:paraId="74F138C6">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_Toc17312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pacing w:val="-1"/>
          <w:szCs w:val="24"/>
        </w:rPr>
        <w:t>二、资格审查要求</w:t>
      </w:r>
      <w:r>
        <w:tab/>
      </w:r>
      <w:r>
        <w:fldChar w:fldCharType="begin"/>
      </w:r>
      <w:r>
        <w:instrText xml:space="preserve"> PAGEREF _Toc17312 \h </w:instrText>
      </w:r>
      <w:r>
        <w:fldChar w:fldCharType="separate"/>
      </w:r>
      <w:r>
        <w:t>- 16 -</w:t>
      </w:r>
      <w:r>
        <w:fldChar w:fldCharType="end"/>
      </w:r>
      <w:r>
        <w:rPr>
          <w:rFonts w:ascii="Arial" w:hAnsi="Arial" w:eastAsia="Arial" w:cs="Arial"/>
          <w:snapToGrid w:val="0"/>
          <w:color w:val="000000"/>
          <w:kern w:val="0"/>
          <w:szCs w:val="21"/>
          <w:lang w:val="en-US" w:eastAsia="en-US" w:bidi="ar-SA"/>
        </w:rPr>
        <w:fldChar w:fldCharType="end"/>
      </w:r>
    </w:p>
    <w:p w14:paraId="168BDF7E">
      <w:pPr>
        <w:pStyle w:val="10"/>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_Toc27216 </w:instrText>
      </w:r>
      <w:r>
        <w:rPr>
          <w:rFonts w:ascii="Arial" w:hAnsi="Arial" w:eastAsia="Arial" w:cs="Arial"/>
          <w:snapToGrid w:val="0"/>
          <w:kern w:val="0"/>
          <w:szCs w:val="21"/>
          <w:lang w:val="en-US" w:eastAsia="en-US" w:bidi="ar-SA"/>
        </w:rPr>
        <w:fldChar w:fldCharType="separate"/>
      </w:r>
      <w:r>
        <w:rPr>
          <w:bCs/>
          <w:spacing w:val="7"/>
          <w:szCs w:val="30"/>
        </w:rPr>
        <w:t>第四章</w:t>
      </w:r>
      <w:r>
        <w:rPr>
          <w:rFonts w:hint="eastAsia"/>
          <w:bCs/>
          <w:spacing w:val="7"/>
          <w:szCs w:val="30"/>
          <w:lang w:val="en-US" w:eastAsia="zh-CN"/>
        </w:rPr>
        <w:t xml:space="preserve">  </w:t>
      </w:r>
      <w:r>
        <w:rPr>
          <w:bCs/>
          <w:spacing w:val="7"/>
          <w:szCs w:val="30"/>
        </w:rPr>
        <w:t>评标程序、评标方法和评标标准</w:t>
      </w:r>
      <w:r>
        <w:tab/>
      </w:r>
      <w:r>
        <w:fldChar w:fldCharType="begin"/>
      </w:r>
      <w:r>
        <w:instrText xml:space="preserve"> PAGEREF _Toc27216 \h </w:instrText>
      </w:r>
      <w:r>
        <w:fldChar w:fldCharType="separate"/>
      </w:r>
      <w:r>
        <w:t>- 18 -</w:t>
      </w:r>
      <w:r>
        <w:fldChar w:fldCharType="end"/>
      </w:r>
      <w:r>
        <w:rPr>
          <w:rFonts w:ascii="Arial" w:hAnsi="Arial" w:eastAsia="Arial" w:cs="Arial"/>
          <w:snapToGrid w:val="0"/>
          <w:color w:val="000000"/>
          <w:kern w:val="0"/>
          <w:szCs w:val="21"/>
          <w:lang w:val="en-US" w:eastAsia="en-US" w:bidi="ar-SA"/>
        </w:rPr>
        <w:fldChar w:fldCharType="end"/>
      </w:r>
    </w:p>
    <w:p w14:paraId="24732D7B">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_Toc28777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pacing w:val="-1"/>
          <w:szCs w:val="24"/>
        </w:rPr>
        <w:t>一、评标方法</w:t>
      </w:r>
      <w:r>
        <w:tab/>
      </w:r>
      <w:r>
        <w:fldChar w:fldCharType="begin"/>
      </w:r>
      <w:r>
        <w:instrText xml:space="preserve"> PAGEREF _Toc28777 \h </w:instrText>
      </w:r>
      <w:r>
        <w:fldChar w:fldCharType="separate"/>
      </w:r>
      <w:r>
        <w:t>- 18 -</w:t>
      </w:r>
      <w:r>
        <w:fldChar w:fldCharType="end"/>
      </w:r>
      <w:r>
        <w:rPr>
          <w:rFonts w:ascii="Arial" w:hAnsi="Arial" w:eastAsia="Arial" w:cs="Arial"/>
          <w:snapToGrid w:val="0"/>
          <w:color w:val="000000"/>
          <w:kern w:val="0"/>
          <w:szCs w:val="21"/>
          <w:lang w:val="en-US" w:eastAsia="en-US" w:bidi="ar-SA"/>
        </w:rPr>
        <w:fldChar w:fldCharType="end"/>
      </w:r>
    </w:p>
    <w:p w14:paraId="0BFB02D4">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_Toc6735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pacing w:val="-1"/>
          <w:szCs w:val="24"/>
        </w:rPr>
        <w:t>二、评标标准</w:t>
      </w:r>
      <w:r>
        <w:tab/>
      </w:r>
      <w:r>
        <w:fldChar w:fldCharType="begin"/>
      </w:r>
      <w:r>
        <w:instrText xml:space="preserve"> PAGEREF _Toc6735 \h </w:instrText>
      </w:r>
      <w:r>
        <w:fldChar w:fldCharType="separate"/>
      </w:r>
      <w:r>
        <w:t>- 23 -</w:t>
      </w:r>
      <w:r>
        <w:fldChar w:fldCharType="end"/>
      </w:r>
      <w:r>
        <w:rPr>
          <w:rFonts w:ascii="Arial" w:hAnsi="Arial" w:eastAsia="Arial" w:cs="Arial"/>
          <w:snapToGrid w:val="0"/>
          <w:color w:val="000000"/>
          <w:kern w:val="0"/>
          <w:szCs w:val="21"/>
          <w:lang w:val="en-US" w:eastAsia="en-US" w:bidi="ar-SA"/>
        </w:rPr>
        <w:fldChar w:fldCharType="end"/>
      </w:r>
    </w:p>
    <w:p w14:paraId="69BB56CB">
      <w:pPr>
        <w:pStyle w:val="10"/>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_Toc10239 </w:instrText>
      </w:r>
      <w:r>
        <w:rPr>
          <w:rFonts w:ascii="Arial" w:hAnsi="Arial" w:eastAsia="Arial" w:cs="Arial"/>
          <w:snapToGrid w:val="0"/>
          <w:kern w:val="0"/>
          <w:szCs w:val="21"/>
          <w:lang w:val="en-US" w:eastAsia="en-US" w:bidi="ar-SA"/>
        </w:rPr>
        <w:fldChar w:fldCharType="separate"/>
      </w:r>
      <w:r>
        <w:rPr>
          <w:bCs/>
          <w:spacing w:val="7"/>
          <w:szCs w:val="30"/>
        </w:rPr>
        <w:t>第五章</w:t>
      </w:r>
      <w:r>
        <w:rPr>
          <w:rFonts w:hint="eastAsia"/>
          <w:bCs/>
          <w:spacing w:val="7"/>
          <w:szCs w:val="30"/>
          <w:lang w:val="en-US" w:eastAsia="zh-CN"/>
        </w:rPr>
        <w:t xml:space="preserve">  </w:t>
      </w:r>
      <w:r>
        <w:rPr>
          <w:bCs/>
          <w:spacing w:val="7"/>
          <w:szCs w:val="30"/>
        </w:rPr>
        <w:t>采购需求</w:t>
      </w:r>
      <w:r>
        <w:tab/>
      </w:r>
      <w:r>
        <w:fldChar w:fldCharType="begin"/>
      </w:r>
      <w:r>
        <w:instrText xml:space="preserve"> PAGEREF _Toc10239 \h </w:instrText>
      </w:r>
      <w:r>
        <w:fldChar w:fldCharType="separate"/>
      </w:r>
      <w:r>
        <w:t>- 26 -</w:t>
      </w:r>
      <w:r>
        <w:fldChar w:fldCharType="end"/>
      </w:r>
      <w:r>
        <w:rPr>
          <w:rFonts w:ascii="Arial" w:hAnsi="Arial" w:eastAsia="Arial" w:cs="Arial"/>
          <w:snapToGrid w:val="0"/>
          <w:color w:val="000000"/>
          <w:kern w:val="0"/>
          <w:szCs w:val="21"/>
          <w:lang w:val="en-US" w:eastAsia="en-US" w:bidi="ar-SA"/>
        </w:rPr>
        <w:fldChar w:fldCharType="end"/>
      </w:r>
    </w:p>
    <w:p w14:paraId="4B84FED3">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_Toc23799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napToGrid/>
          <w:kern w:val="2"/>
          <w:szCs w:val="28"/>
          <w:lang w:val="en-US" w:eastAsia="zh-CN"/>
        </w:rPr>
        <w:t>1.全自动多参数滴定分析仪</w:t>
      </w:r>
      <w:r>
        <w:tab/>
      </w:r>
      <w:r>
        <w:fldChar w:fldCharType="begin"/>
      </w:r>
      <w:r>
        <w:instrText xml:space="preserve"> PAGEREF _Toc23799 \h </w:instrText>
      </w:r>
      <w:r>
        <w:fldChar w:fldCharType="separate"/>
      </w:r>
      <w:r>
        <w:t>- 26 -</w:t>
      </w:r>
      <w:r>
        <w:fldChar w:fldCharType="end"/>
      </w:r>
      <w:r>
        <w:rPr>
          <w:rFonts w:ascii="Arial" w:hAnsi="Arial" w:eastAsia="Arial" w:cs="Arial"/>
          <w:snapToGrid w:val="0"/>
          <w:color w:val="000000"/>
          <w:kern w:val="0"/>
          <w:szCs w:val="21"/>
          <w:lang w:val="en-US" w:eastAsia="en-US" w:bidi="ar-SA"/>
        </w:rPr>
        <w:fldChar w:fldCharType="end"/>
      </w:r>
    </w:p>
    <w:p w14:paraId="13436DE9">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_Toc25444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napToGrid/>
          <w:kern w:val="2"/>
          <w:szCs w:val="28"/>
          <w:lang w:val="en-US" w:eastAsia="zh-CN"/>
        </w:rPr>
        <w:t>2.蒸发恒重分析仪</w:t>
      </w:r>
      <w:r>
        <w:tab/>
      </w:r>
      <w:r>
        <w:fldChar w:fldCharType="begin"/>
      </w:r>
      <w:r>
        <w:instrText xml:space="preserve"> PAGEREF _Toc25444 \h </w:instrText>
      </w:r>
      <w:r>
        <w:fldChar w:fldCharType="separate"/>
      </w:r>
      <w:r>
        <w:t>- 28 -</w:t>
      </w:r>
      <w:r>
        <w:fldChar w:fldCharType="end"/>
      </w:r>
      <w:r>
        <w:rPr>
          <w:rFonts w:ascii="Arial" w:hAnsi="Arial" w:eastAsia="Arial" w:cs="Arial"/>
          <w:snapToGrid w:val="0"/>
          <w:color w:val="000000"/>
          <w:kern w:val="0"/>
          <w:szCs w:val="21"/>
          <w:lang w:val="en-US" w:eastAsia="en-US" w:bidi="ar-SA"/>
        </w:rPr>
        <w:fldChar w:fldCharType="end"/>
      </w:r>
    </w:p>
    <w:p w14:paraId="4DF5CBDA">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_Toc25040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napToGrid/>
          <w:kern w:val="2"/>
          <w:szCs w:val="28"/>
          <w:lang w:val="en-US" w:eastAsia="zh-CN"/>
        </w:rPr>
        <w:t>3.全自动游离二氧化硅前处理仪</w:t>
      </w:r>
      <w:r>
        <w:tab/>
      </w:r>
      <w:r>
        <w:fldChar w:fldCharType="begin"/>
      </w:r>
      <w:r>
        <w:instrText xml:space="preserve"> PAGEREF _Toc25040 \h </w:instrText>
      </w:r>
      <w:r>
        <w:fldChar w:fldCharType="separate"/>
      </w:r>
      <w:r>
        <w:t>- 30 -</w:t>
      </w:r>
      <w:r>
        <w:fldChar w:fldCharType="end"/>
      </w:r>
      <w:r>
        <w:rPr>
          <w:rFonts w:ascii="Arial" w:hAnsi="Arial" w:eastAsia="Arial" w:cs="Arial"/>
          <w:snapToGrid w:val="0"/>
          <w:color w:val="000000"/>
          <w:kern w:val="0"/>
          <w:szCs w:val="21"/>
          <w:lang w:val="en-US" w:eastAsia="en-US" w:bidi="ar-SA"/>
        </w:rPr>
        <w:fldChar w:fldCharType="end"/>
      </w:r>
    </w:p>
    <w:p w14:paraId="1866B513">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_Toc27748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napToGrid/>
          <w:kern w:val="2"/>
          <w:szCs w:val="28"/>
          <w:lang w:val="en-US" w:eastAsia="zh-CN"/>
        </w:rPr>
        <w:t>4.全自动流动注射分析仪</w:t>
      </w:r>
      <w:r>
        <w:tab/>
      </w:r>
      <w:r>
        <w:fldChar w:fldCharType="begin"/>
      </w:r>
      <w:r>
        <w:instrText xml:space="preserve"> PAGEREF _Toc27748 \h </w:instrText>
      </w:r>
      <w:r>
        <w:fldChar w:fldCharType="separate"/>
      </w:r>
      <w:r>
        <w:t>- 32 -</w:t>
      </w:r>
      <w:r>
        <w:fldChar w:fldCharType="end"/>
      </w:r>
      <w:r>
        <w:rPr>
          <w:rFonts w:ascii="Arial" w:hAnsi="Arial" w:eastAsia="Arial" w:cs="Arial"/>
          <w:snapToGrid w:val="0"/>
          <w:color w:val="000000"/>
          <w:kern w:val="0"/>
          <w:szCs w:val="21"/>
          <w:lang w:val="en-US" w:eastAsia="en-US" w:bidi="ar-SA"/>
        </w:rPr>
        <w:fldChar w:fldCharType="end"/>
      </w:r>
    </w:p>
    <w:p w14:paraId="422C2423">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_Toc19018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napToGrid/>
          <w:kern w:val="2"/>
          <w:szCs w:val="28"/>
          <w:lang w:val="en-US" w:eastAsia="zh-CN"/>
        </w:rPr>
        <w:t>5.全自动核酸处理仪</w:t>
      </w:r>
      <w:r>
        <w:tab/>
      </w:r>
      <w:r>
        <w:fldChar w:fldCharType="begin"/>
      </w:r>
      <w:r>
        <w:instrText xml:space="preserve"> PAGEREF _Toc19018 \h </w:instrText>
      </w:r>
      <w:r>
        <w:fldChar w:fldCharType="separate"/>
      </w:r>
      <w:r>
        <w:t>- 34 -</w:t>
      </w:r>
      <w:r>
        <w:fldChar w:fldCharType="end"/>
      </w:r>
      <w:r>
        <w:rPr>
          <w:rFonts w:ascii="Arial" w:hAnsi="Arial" w:eastAsia="Arial" w:cs="Arial"/>
          <w:snapToGrid w:val="0"/>
          <w:color w:val="000000"/>
          <w:kern w:val="0"/>
          <w:szCs w:val="21"/>
          <w:lang w:val="en-US" w:eastAsia="en-US" w:bidi="ar-SA"/>
        </w:rPr>
        <w:fldChar w:fldCharType="end"/>
      </w:r>
    </w:p>
    <w:p w14:paraId="2572BE44">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_Toc18978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napToGrid/>
          <w:kern w:val="2"/>
          <w:szCs w:val="28"/>
          <w:lang w:val="en-US" w:eastAsia="zh-CN"/>
        </w:rPr>
        <w:t>6.生物安全柜</w:t>
      </w:r>
      <w:r>
        <w:tab/>
      </w:r>
      <w:r>
        <w:fldChar w:fldCharType="begin"/>
      </w:r>
      <w:r>
        <w:instrText xml:space="preserve"> PAGEREF _Toc18978 \h </w:instrText>
      </w:r>
      <w:r>
        <w:fldChar w:fldCharType="separate"/>
      </w:r>
      <w:r>
        <w:t>- 35 -</w:t>
      </w:r>
      <w:r>
        <w:fldChar w:fldCharType="end"/>
      </w:r>
      <w:r>
        <w:rPr>
          <w:rFonts w:ascii="Arial" w:hAnsi="Arial" w:eastAsia="Arial" w:cs="Arial"/>
          <w:snapToGrid w:val="0"/>
          <w:color w:val="000000"/>
          <w:kern w:val="0"/>
          <w:szCs w:val="21"/>
          <w:lang w:val="en-US" w:eastAsia="en-US" w:bidi="ar-SA"/>
        </w:rPr>
        <w:fldChar w:fldCharType="end"/>
      </w:r>
    </w:p>
    <w:p w14:paraId="712C4333">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_Toc1707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napToGrid/>
          <w:kern w:val="2"/>
          <w:szCs w:val="28"/>
          <w:lang w:val="en-US" w:eastAsia="zh-CN"/>
        </w:rPr>
        <w:t>7.数字化摄影X射线机（DR）</w:t>
      </w:r>
      <w:r>
        <w:tab/>
      </w:r>
      <w:r>
        <w:fldChar w:fldCharType="begin"/>
      </w:r>
      <w:r>
        <w:instrText xml:space="preserve"> PAGEREF _Toc1707 \h </w:instrText>
      </w:r>
      <w:r>
        <w:fldChar w:fldCharType="separate"/>
      </w:r>
      <w:r>
        <w:t>- 37 -</w:t>
      </w:r>
      <w:r>
        <w:fldChar w:fldCharType="end"/>
      </w:r>
      <w:r>
        <w:rPr>
          <w:rFonts w:ascii="Arial" w:hAnsi="Arial" w:eastAsia="Arial" w:cs="Arial"/>
          <w:snapToGrid w:val="0"/>
          <w:color w:val="000000"/>
          <w:kern w:val="0"/>
          <w:szCs w:val="21"/>
          <w:lang w:val="en-US" w:eastAsia="en-US" w:bidi="ar-SA"/>
        </w:rPr>
        <w:fldChar w:fldCharType="end"/>
      </w:r>
    </w:p>
    <w:p w14:paraId="70C4F7C1">
      <w:pPr>
        <w:pStyle w:val="10"/>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_Toc17102 </w:instrText>
      </w:r>
      <w:r>
        <w:rPr>
          <w:rFonts w:ascii="Arial" w:hAnsi="Arial" w:eastAsia="Arial" w:cs="Arial"/>
          <w:snapToGrid w:val="0"/>
          <w:kern w:val="0"/>
          <w:szCs w:val="21"/>
          <w:lang w:val="en-US" w:eastAsia="en-US" w:bidi="ar-SA"/>
        </w:rPr>
        <w:fldChar w:fldCharType="separate"/>
      </w:r>
      <w:r>
        <w:rPr>
          <w:bCs/>
          <w:spacing w:val="7"/>
          <w:szCs w:val="30"/>
        </w:rPr>
        <w:t>第六章</w:t>
      </w:r>
      <w:r>
        <w:rPr>
          <w:rFonts w:hint="eastAsia"/>
          <w:bCs/>
          <w:spacing w:val="7"/>
          <w:szCs w:val="30"/>
          <w:lang w:val="en-US" w:eastAsia="zh-CN"/>
        </w:rPr>
        <w:t xml:space="preserve">  </w:t>
      </w:r>
      <w:r>
        <w:rPr>
          <w:bCs/>
          <w:spacing w:val="7"/>
          <w:szCs w:val="30"/>
        </w:rPr>
        <w:t>拟签订的合同文本</w:t>
      </w:r>
      <w:r>
        <w:tab/>
      </w:r>
      <w:r>
        <w:fldChar w:fldCharType="begin"/>
      </w:r>
      <w:r>
        <w:instrText xml:space="preserve"> PAGEREF _Toc17102 \h </w:instrText>
      </w:r>
      <w:r>
        <w:fldChar w:fldCharType="separate"/>
      </w:r>
      <w:r>
        <w:t>- 39 -</w:t>
      </w:r>
      <w:r>
        <w:fldChar w:fldCharType="end"/>
      </w:r>
      <w:r>
        <w:rPr>
          <w:rFonts w:ascii="Arial" w:hAnsi="Arial" w:eastAsia="Arial" w:cs="Arial"/>
          <w:snapToGrid w:val="0"/>
          <w:color w:val="000000"/>
          <w:kern w:val="0"/>
          <w:szCs w:val="21"/>
          <w:lang w:val="en-US" w:eastAsia="en-US" w:bidi="ar-SA"/>
        </w:rPr>
        <w:fldChar w:fldCharType="end"/>
      </w:r>
    </w:p>
    <w:p w14:paraId="382CC72F">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_Toc1883 </w:instrText>
      </w:r>
      <w:r>
        <w:rPr>
          <w:rFonts w:ascii="Arial" w:hAnsi="Arial" w:eastAsia="Arial" w:cs="Arial"/>
          <w:snapToGrid w:val="0"/>
          <w:kern w:val="0"/>
          <w:szCs w:val="21"/>
          <w:lang w:val="en-US" w:eastAsia="en-US" w:bidi="ar-SA"/>
        </w:rPr>
        <w:fldChar w:fldCharType="separate"/>
      </w:r>
      <w:r>
        <w:rPr>
          <w:rFonts w:hint="eastAsia" w:ascii="黑体" w:hAnsi="黑体" w:eastAsia="黑体" w:cs="Times New Roman"/>
          <w:bCs w:val="0"/>
          <w:snapToGrid/>
          <w:kern w:val="2"/>
          <w:szCs w:val="28"/>
          <w:lang w:eastAsia="zh-CN"/>
        </w:rPr>
        <w:t xml:space="preserve">第一节 </w:t>
      </w:r>
      <w:r>
        <w:rPr>
          <w:rFonts w:hint="eastAsia" w:ascii="黑体" w:hAnsi="华文中宋" w:eastAsia="黑体" w:cs="Times New Roman"/>
          <w:bCs w:val="0"/>
          <w:snapToGrid/>
          <w:kern w:val="2"/>
          <w:szCs w:val="28"/>
          <w:lang w:eastAsia="zh-CN"/>
        </w:rPr>
        <w:t>政府采购合同协议书</w:t>
      </w:r>
      <w:r>
        <w:tab/>
      </w:r>
      <w:r>
        <w:fldChar w:fldCharType="begin"/>
      </w:r>
      <w:r>
        <w:instrText xml:space="preserve"> PAGEREF _Toc1883 \h </w:instrText>
      </w:r>
      <w:r>
        <w:fldChar w:fldCharType="separate"/>
      </w:r>
      <w:r>
        <w:t>- 39 -</w:t>
      </w:r>
      <w:r>
        <w:fldChar w:fldCharType="end"/>
      </w:r>
      <w:r>
        <w:rPr>
          <w:rFonts w:ascii="Arial" w:hAnsi="Arial" w:eastAsia="Arial" w:cs="Arial"/>
          <w:snapToGrid w:val="0"/>
          <w:color w:val="000000"/>
          <w:kern w:val="0"/>
          <w:szCs w:val="21"/>
          <w:lang w:val="en-US" w:eastAsia="en-US" w:bidi="ar-SA"/>
        </w:rPr>
        <w:fldChar w:fldCharType="end"/>
      </w:r>
    </w:p>
    <w:p w14:paraId="1ADC12F4">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_Toc9281 </w:instrText>
      </w:r>
      <w:r>
        <w:rPr>
          <w:rFonts w:ascii="Arial" w:hAnsi="Arial" w:eastAsia="Arial" w:cs="Arial"/>
          <w:snapToGrid w:val="0"/>
          <w:kern w:val="0"/>
          <w:szCs w:val="21"/>
          <w:lang w:val="en-US" w:eastAsia="en-US" w:bidi="ar-SA"/>
        </w:rPr>
        <w:fldChar w:fldCharType="separate"/>
      </w:r>
      <w:r>
        <w:rPr>
          <w:rFonts w:hint="eastAsia" w:ascii="黑体" w:hAnsi="黑体" w:eastAsia="黑体" w:cs="Times New Roman"/>
          <w:bCs w:val="0"/>
          <w:kern w:val="2"/>
          <w:szCs w:val="28"/>
          <w:lang w:val="en-US" w:eastAsia="zh-CN" w:bidi="ar-SA"/>
        </w:rPr>
        <w:t>第二节 政府采购合同通用条款</w:t>
      </w:r>
      <w:r>
        <w:tab/>
      </w:r>
      <w:r>
        <w:fldChar w:fldCharType="begin"/>
      </w:r>
      <w:r>
        <w:instrText xml:space="preserve"> PAGEREF _Toc9281 \h </w:instrText>
      </w:r>
      <w:r>
        <w:fldChar w:fldCharType="separate"/>
      </w:r>
      <w:r>
        <w:t>- 43 -</w:t>
      </w:r>
      <w:r>
        <w:fldChar w:fldCharType="end"/>
      </w:r>
      <w:r>
        <w:rPr>
          <w:rFonts w:ascii="Arial" w:hAnsi="Arial" w:eastAsia="Arial" w:cs="Arial"/>
          <w:snapToGrid w:val="0"/>
          <w:color w:val="000000"/>
          <w:kern w:val="0"/>
          <w:szCs w:val="21"/>
          <w:lang w:val="en-US" w:eastAsia="en-US" w:bidi="ar-SA"/>
        </w:rPr>
        <w:fldChar w:fldCharType="end"/>
      </w:r>
    </w:p>
    <w:p w14:paraId="7B880003">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_Toc19869 </w:instrText>
      </w:r>
      <w:r>
        <w:rPr>
          <w:rFonts w:ascii="Arial" w:hAnsi="Arial" w:eastAsia="Arial" w:cs="Arial"/>
          <w:snapToGrid w:val="0"/>
          <w:kern w:val="0"/>
          <w:szCs w:val="21"/>
          <w:lang w:val="en-US" w:eastAsia="en-US" w:bidi="ar-SA"/>
        </w:rPr>
        <w:fldChar w:fldCharType="separate"/>
      </w:r>
      <w:r>
        <w:rPr>
          <w:rFonts w:hint="eastAsia" w:ascii="黑体" w:hAnsi="华文中宋" w:eastAsia="黑体" w:cs="Times New Roman"/>
          <w:bCs w:val="0"/>
          <w:kern w:val="2"/>
          <w:szCs w:val="28"/>
          <w:lang w:val="en-US" w:eastAsia="zh-CN" w:bidi="ar-SA"/>
        </w:rPr>
        <w:t>第三节 政府采购合同专用条款</w:t>
      </w:r>
      <w:r>
        <w:tab/>
      </w:r>
      <w:r>
        <w:fldChar w:fldCharType="begin"/>
      </w:r>
      <w:r>
        <w:instrText xml:space="preserve"> PAGEREF _Toc19869 \h </w:instrText>
      </w:r>
      <w:r>
        <w:fldChar w:fldCharType="separate"/>
      </w:r>
      <w:r>
        <w:t>- 49 -</w:t>
      </w:r>
      <w:r>
        <w:fldChar w:fldCharType="end"/>
      </w:r>
      <w:r>
        <w:rPr>
          <w:rFonts w:ascii="Arial" w:hAnsi="Arial" w:eastAsia="Arial" w:cs="Arial"/>
          <w:snapToGrid w:val="0"/>
          <w:color w:val="000000"/>
          <w:kern w:val="0"/>
          <w:szCs w:val="21"/>
          <w:lang w:val="en-US" w:eastAsia="en-US" w:bidi="ar-SA"/>
        </w:rPr>
        <w:fldChar w:fldCharType="end"/>
      </w:r>
    </w:p>
    <w:p w14:paraId="24DD1C61">
      <w:pPr>
        <w:pStyle w:val="10"/>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_Toc21078 </w:instrText>
      </w:r>
      <w:r>
        <w:rPr>
          <w:rFonts w:ascii="Arial" w:hAnsi="Arial" w:eastAsia="Arial" w:cs="Arial"/>
          <w:snapToGrid w:val="0"/>
          <w:kern w:val="0"/>
          <w:szCs w:val="21"/>
          <w:lang w:val="en-US" w:eastAsia="en-US" w:bidi="ar-SA"/>
        </w:rPr>
        <w:fldChar w:fldCharType="separate"/>
      </w:r>
      <w:r>
        <w:rPr>
          <w:bCs/>
          <w:spacing w:val="7"/>
          <w:szCs w:val="30"/>
        </w:rPr>
        <w:t>第七章</w:t>
      </w:r>
      <w:r>
        <w:rPr>
          <w:rFonts w:hint="eastAsia"/>
          <w:bCs/>
          <w:spacing w:val="7"/>
          <w:szCs w:val="30"/>
          <w:lang w:val="en-US" w:eastAsia="zh-CN"/>
        </w:rPr>
        <w:t xml:space="preserve">  </w:t>
      </w:r>
      <w:r>
        <w:rPr>
          <w:bCs/>
          <w:spacing w:val="7"/>
          <w:szCs w:val="30"/>
        </w:rPr>
        <w:t>投标文件格式</w:t>
      </w:r>
      <w:r>
        <w:tab/>
      </w:r>
      <w:r>
        <w:fldChar w:fldCharType="begin"/>
      </w:r>
      <w:r>
        <w:instrText xml:space="preserve"> PAGEREF _Toc21078 \h </w:instrText>
      </w:r>
      <w:r>
        <w:fldChar w:fldCharType="separate"/>
      </w:r>
      <w:r>
        <w:t>- 53 -</w:t>
      </w:r>
      <w:r>
        <w:fldChar w:fldCharType="end"/>
      </w:r>
      <w:r>
        <w:rPr>
          <w:rFonts w:ascii="Arial" w:hAnsi="Arial" w:eastAsia="Arial" w:cs="Arial"/>
          <w:snapToGrid w:val="0"/>
          <w:color w:val="000000"/>
          <w:kern w:val="0"/>
          <w:szCs w:val="21"/>
          <w:lang w:val="en-US" w:eastAsia="en-US" w:bidi="ar-SA"/>
        </w:rPr>
        <w:fldChar w:fldCharType="end"/>
      </w:r>
    </w:p>
    <w:p w14:paraId="4D336AEC">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_Toc32496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pacing w:val="-1"/>
          <w:szCs w:val="32"/>
        </w:rPr>
        <w:t>一、资格证明文件格式</w:t>
      </w:r>
      <w:r>
        <w:tab/>
      </w:r>
      <w:r>
        <w:fldChar w:fldCharType="begin"/>
      </w:r>
      <w:r>
        <w:instrText xml:space="preserve"> PAGEREF _Toc32496 \h </w:instrText>
      </w:r>
      <w:r>
        <w:fldChar w:fldCharType="separate"/>
      </w:r>
      <w:r>
        <w:t>- 54 -</w:t>
      </w:r>
      <w:r>
        <w:fldChar w:fldCharType="end"/>
      </w:r>
      <w:r>
        <w:rPr>
          <w:rFonts w:ascii="Arial" w:hAnsi="Arial" w:eastAsia="Arial" w:cs="Arial"/>
          <w:snapToGrid w:val="0"/>
          <w:color w:val="000000"/>
          <w:kern w:val="0"/>
          <w:szCs w:val="21"/>
          <w:lang w:val="en-US" w:eastAsia="en-US" w:bidi="ar-SA"/>
        </w:rPr>
        <w:fldChar w:fldCharType="end"/>
      </w:r>
    </w:p>
    <w:p w14:paraId="334F9CAA">
      <w:pPr>
        <w:pStyle w:val="11"/>
        <w:tabs>
          <w:tab w:val="right" w:leader="dot" w:pos="9071"/>
        </w:tabs>
      </w:pPr>
      <w:r>
        <w:rPr>
          <w:rFonts w:ascii="Arial" w:hAnsi="Arial" w:eastAsia="Arial" w:cs="Arial"/>
          <w:snapToGrid w:val="0"/>
          <w:color w:val="000000"/>
          <w:kern w:val="0"/>
          <w:szCs w:val="21"/>
          <w:lang w:val="en-US" w:eastAsia="en-US" w:bidi="ar-SA"/>
        </w:rPr>
        <w:fldChar w:fldCharType="begin"/>
      </w:r>
      <w:r>
        <w:rPr>
          <w:rFonts w:ascii="Arial" w:hAnsi="Arial" w:eastAsia="Arial" w:cs="Arial"/>
          <w:snapToGrid w:val="0"/>
          <w:kern w:val="0"/>
          <w:szCs w:val="21"/>
          <w:lang w:val="en-US" w:eastAsia="en-US" w:bidi="ar-SA"/>
        </w:rPr>
        <w:instrText xml:space="preserve"> HYPERLINK \l _Toc20797 </w:instrText>
      </w:r>
      <w:r>
        <w:rPr>
          <w:rFonts w:ascii="Arial" w:hAnsi="Arial" w:eastAsia="Arial" w:cs="Arial"/>
          <w:snapToGrid w:val="0"/>
          <w:kern w:val="0"/>
          <w:szCs w:val="21"/>
          <w:lang w:val="en-US" w:eastAsia="en-US" w:bidi="ar-SA"/>
        </w:rPr>
        <w:fldChar w:fldCharType="separate"/>
      </w:r>
      <w:r>
        <w:rPr>
          <w:rFonts w:hint="eastAsia" w:ascii="宋体" w:hAnsi="宋体" w:eastAsia="宋体" w:cs="宋体"/>
          <w:bCs/>
          <w:spacing w:val="-1"/>
          <w:szCs w:val="32"/>
        </w:rPr>
        <w:t>二、商务技术文件格式</w:t>
      </w:r>
      <w:r>
        <w:tab/>
      </w:r>
      <w:r>
        <w:fldChar w:fldCharType="begin"/>
      </w:r>
      <w:r>
        <w:instrText xml:space="preserve"> PAGEREF _Toc20797 \h </w:instrText>
      </w:r>
      <w:r>
        <w:fldChar w:fldCharType="separate"/>
      </w:r>
      <w:r>
        <w:t>- 58 -</w:t>
      </w:r>
      <w:r>
        <w:fldChar w:fldCharType="end"/>
      </w:r>
      <w:r>
        <w:rPr>
          <w:rFonts w:ascii="Arial" w:hAnsi="Arial" w:eastAsia="Arial" w:cs="Arial"/>
          <w:snapToGrid w:val="0"/>
          <w:color w:val="000000"/>
          <w:kern w:val="0"/>
          <w:szCs w:val="21"/>
          <w:lang w:val="en-US" w:eastAsia="en-US" w:bidi="ar-SA"/>
        </w:rPr>
        <w:fldChar w:fldCharType="end"/>
      </w:r>
    </w:p>
    <w:p w14:paraId="2EC96B28">
      <w:pPr>
        <w:spacing w:line="290" w:lineRule="auto"/>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Cs w:val="21"/>
          <w:lang w:val="en-US" w:eastAsia="en-US" w:bidi="ar-SA"/>
        </w:rPr>
        <w:fldChar w:fldCharType="end"/>
      </w:r>
    </w:p>
    <w:p w14:paraId="73EF24B8">
      <w:pPr>
        <w:spacing w:line="291" w:lineRule="auto"/>
        <w:rPr>
          <w:rFonts w:ascii="Arial"/>
          <w:sz w:val="21"/>
        </w:rPr>
      </w:pPr>
    </w:p>
    <w:p w14:paraId="36EB58D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注：采购文件条款中以“</w:t>
      </w:r>
      <w:r>
        <w:rPr>
          <w:rFonts w:hint="eastAsia" w:ascii="宋体" w:hAnsi="宋体" w:eastAsia="宋体" w:cs="宋体"/>
          <w:spacing w:val="19"/>
          <w:sz w:val="24"/>
          <w:szCs w:val="24"/>
          <w:lang w:eastAsia="zh-CN"/>
        </w:rPr>
        <w:t>☑</w:t>
      </w:r>
      <w:r>
        <w:rPr>
          <w:rFonts w:hint="eastAsia" w:ascii="宋体" w:hAnsi="宋体" w:eastAsia="宋体" w:cs="宋体"/>
          <w:sz w:val="24"/>
          <w:szCs w:val="24"/>
        </w:rPr>
        <w:t>”形式标记的内容适用于本项目，以“□”形式标记的内容不适用于本项目。</w:t>
      </w:r>
    </w:p>
    <w:p w14:paraId="234DB37F">
      <w:pPr>
        <w:spacing w:line="200" w:lineRule="auto"/>
        <w:rPr>
          <w:sz w:val="24"/>
          <w:szCs w:val="24"/>
        </w:rPr>
      </w:pPr>
    </w:p>
    <w:p w14:paraId="7BB87FF0">
      <w:pPr>
        <w:spacing w:line="200" w:lineRule="auto"/>
        <w:rPr>
          <w:sz w:val="24"/>
          <w:szCs w:val="24"/>
        </w:rPr>
        <w:sectPr>
          <w:headerReference r:id="rId5" w:type="default"/>
          <w:pgSz w:w="11905" w:h="16838"/>
          <w:pgMar w:top="1361" w:right="1417" w:bottom="1247" w:left="1417" w:header="839" w:footer="884" w:gutter="0"/>
          <w:cols w:space="0" w:num="1"/>
          <w:rtlGutter w:val="0"/>
          <w:docGrid w:linePitch="0" w:charSpace="0"/>
        </w:sectPr>
      </w:pPr>
    </w:p>
    <w:p w14:paraId="034443C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sz w:val="30"/>
          <w:szCs w:val="30"/>
        </w:rPr>
      </w:pPr>
      <w:bookmarkStart w:id="1" w:name="_Toc25111"/>
      <w:bookmarkStart w:id="2" w:name="_Toc31286"/>
      <w:r>
        <w:rPr>
          <w:b/>
          <w:bCs/>
          <w:spacing w:val="7"/>
          <w:sz w:val="30"/>
          <w:szCs w:val="30"/>
        </w:rPr>
        <w:t>第一章</w:t>
      </w:r>
      <w:r>
        <w:rPr>
          <w:rFonts w:hint="eastAsia"/>
          <w:b/>
          <w:bCs/>
          <w:spacing w:val="7"/>
          <w:sz w:val="30"/>
          <w:szCs w:val="30"/>
          <w:lang w:val="en-US" w:eastAsia="zh-CN"/>
        </w:rPr>
        <w:t xml:space="preserve">  </w:t>
      </w:r>
      <w:r>
        <w:rPr>
          <w:b/>
          <w:bCs/>
          <w:spacing w:val="7"/>
          <w:sz w:val="30"/>
          <w:szCs w:val="30"/>
        </w:rPr>
        <w:t>投标邀请</w:t>
      </w:r>
      <w:bookmarkEnd w:id="1"/>
      <w:bookmarkEnd w:id="2"/>
    </w:p>
    <w:p w14:paraId="604277DC">
      <w:pPr>
        <w:jc w:val="center"/>
        <w:rPr>
          <w:rFonts w:ascii="宋体" w:hAnsi="宋体" w:eastAsia="宋体" w:cs="宋体"/>
          <w:b/>
          <w:bCs/>
          <w:sz w:val="28"/>
          <w:szCs w:val="28"/>
          <w:lang w:eastAsia="zh-CN"/>
        </w:rPr>
      </w:pPr>
      <w:r>
        <w:rPr>
          <w:rFonts w:hint="eastAsia" w:ascii="宋体" w:hAnsi="宋体" w:eastAsia="宋体" w:cs="宋体"/>
          <w:b/>
          <w:bCs/>
          <w:sz w:val="28"/>
          <w:szCs w:val="28"/>
          <w:u w:val="single"/>
          <w:lang w:val="en-US" w:eastAsia="zh-CN"/>
        </w:rPr>
        <w:t>登封市疾病预防控制中心公共卫生能力提升项目</w:t>
      </w:r>
      <w:r>
        <w:rPr>
          <w:rFonts w:hint="eastAsia" w:ascii="宋体" w:hAnsi="宋体" w:eastAsia="宋体" w:cs="宋体"/>
          <w:b/>
          <w:bCs/>
          <w:sz w:val="28"/>
          <w:szCs w:val="28"/>
          <w:lang w:eastAsia="zh-CN"/>
        </w:rPr>
        <w:t>公开招标公告</w:t>
      </w:r>
    </w:p>
    <w:p w14:paraId="08D7EE7D">
      <w:pPr>
        <w:spacing w:line="360" w:lineRule="auto"/>
        <w:ind w:firstLine="420" w:firstLineChars="200"/>
        <w:rPr>
          <w:rFonts w:hint="eastAsia" w:ascii="宋体" w:hAnsi="宋体" w:eastAsia="宋体" w:cs="宋体"/>
          <w:lang w:eastAsia="zh-CN"/>
        </w:rPr>
      </w:pPr>
    </w:p>
    <w:p w14:paraId="055F69C5">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lang w:eastAsia="zh-CN"/>
        </w:rPr>
      </w:pPr>
      <w:r>
        <w:rPr>
          <w:rFonts w:hint="eastAsia" w:ascii="宋体" w:hAnsi="宋体" w:eastAsia="宋体" w:cs="宋体"/>
          <w:lang w:eastAsia="zh-CN"/>
        </w:rPr>
        <w:t>项目概况</w:t>
      </w:r>
    </w:p>
    <w:p w14:paraId="4BAFB3D6">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lang w:eastAsia="zh-CN"/>
        </w:rPr>
      </w:pPr>
      <w:r>
        <w:rPr>
          <w:rFonts w:hint="eastAsia" w:ascii="宋体" w:hAnsi="宋体" w:eastAsia="宋体" w:cs="宋体"/>
          <w:b w:val="0"/>
          <w:bCs w:val="0"/>
          <w:sz w:val="21"/>
          <w:szCs w:val="21"/>
          <w:highlight w:val="none"/>
          <w:u w:val="none"/>
          <w:lang w:val="en-US" w:eastAsia="zh-CN"/>
        </w:rPr>
        <w:t>登封市疾病预防控制中心公共卫生能力提升项目</w:t>
      </w:r>
      <w:r>
        <w:rPr>
          <w:rFonts w:hint="eastAsia" w:ascii="宋体" w:hAnsi="宋体" w:eastAsia="宋体" w:cs="宋体"/>
          <w:b w:val="0"/>
          <w:bCs w:val="0"/>
          <w:highlight w:val="none"/>
          <w:u w:val="none"/>
          <w:lang w:eastAsia="zh-CN"/>
        </w:rPr>
        <w:t>招标项目的潜在投标人应在</w:t>
      </w:r>
      <w:r>
        <w:rPr>
          <w:rFonts w:hint="eastAsia" w:ascii="宋体" w:hAnsi="宋体" w:eastAsia="宋体" w:cs="宋体"/>
          <w:b w:val="0"/>
          <w:bCs w:val="0"/>
          <w:highlight w:val="none"/>
          <w:u w:val="none"/>
          <w:lang w:val="en-US" w:eastAsia="zh-CN"/>
        </w:rPr>
        <w:t>登封市公共资源交易平台系统</w:t>
      </w:r>
      <w:r>
        <w:rPr>
          <w:rFonts w:hint="eastAsia" w:ascii="宋体" w:hAnsi="宋体" w:eastAsia="宋体" w:cs="宋体"/>
          <w:b w:val="0"/>
          <w:bCs w:val="0"/>
          <w:highlight w:val="none"/>
          <w:u w:val="none"/>
          <w:lang w:eastAsia="zh-CN"/>
        </w:rPr>
        <w:t>获取招标</w:t>
      </w:r>
      <w:r>
        <w:rPr>
          <w:rFonts w:hint="eastAsia" w:ascii="宋体" w:hAnsi="宋体" w:eastAsia="宋体" w:cs="宋体"/>
          <w:highlight w:val="none"/>
          <w:lang w:eastAsia="zh-CN"/>
        </w:rPr>
        <w:t>文件，并于</w:t>
      </w:r>
      <w:r>
        <w:rPr>
          <w:rFonts w:hint="eastAsia" w:ascii="宋体" w:hAnsi="宋体" w:eastAsia="宋体" w:cs="宋体"/>
          <w:highlight w:val="none"/>
          <w:lang w:val="en-US" w:eastAsia="zh-CN"/>
        </w:rPr>
        <w:t>2026</w:t>
      </w:r>
      <w:r>
        <w:rPr>
          <w:rFonts w:hint="eastAsia" w:ascii="宋体" w:hAnsi="宋体" w:eastAsia="宋体" w:cs="宋体"/>
          <w:highlight w:val="none"/>
          <w:lang w:eastAsia="zh-CN"/>
        </w:rPr>
        <w:t>年</w:t>
      </w:r>
      <w:r>
        <w:rPr>
          <w:rFonts w:hint="eastAsia" w:ascii="宋体" w:hAnsi="宋体" w:eastAsia="宋体" w:cs="宋体"/>
          <w:highlight w:val="none"/>
          <w:u w:val="single"/>
          <w:lang w:val="en-US" w:eastAsia="zh-CN"/>
        </w:rPr>
        <w:t>6</w:t>
      </w:r>
      <w:r>
        <w:rPr>
          <w:rFonts w:hint="eastAsia" w:ascii="宋体" w:hAnsi="宋体" w:eastAsia="宋体" w:cs="宋体"/>
          <w:highlight w:val="none"/>
          <w:lang w:eastAsia="zh-CN"/>
        </w:rPr>
        <w:t>月</w:t>
      </w:r>
      <w:r>
        <w:rPr>
          <w:rFonts w:hint="eastAsia" w:ascii="宋体" w:hAnsi="宋体" w:eastAsia="宋体" w:cs="宋体"/>
          <w:highlight w:val="none"/>
          <w:u w:val="single"/>
          <w:lang w:val="en-US" w:eastAsia="zh-CN"/>
        </w:rPr>
        <w:t>23</w:t>
      </w:r>
      <w:r>
        <w:rPr>
          <w:rFonts w:hint="eastAsia" w:ascii="宋体" w:hAnsi="宋体" w:eastAsia="宋体" w:cs="宋体"/>
          <w:highlight w:val="none"/>
          <w:lang w:eastAsia="zh-CN"/>
        </w:rPr>
        <w:t>日</w:t>
      </w:r>
      <w:r>
        <w:rPr>
          <w:rFonts w:hint="eastAsia" w:ascii="宋体" w:hAnsi="宋体" w:eastAsia="宋体" w:cs="宋体"/>
          <w:highlight w:val="none"/>
          <w:lang w:val="en-US" w:eastAsia="zh-CN"/>
        </w:rPr>
        <w:t>9</w:t>
      </w:r>
      <w:r>
        <w:rPr>
          <w:rFonts w:hint="eastAsia" w:ascii="宋体" w:hAnsi="宋体" w:eastAsia="宋体" w:cs="宋体"/>
          <w:highlight w:val="none"/>
          <w:lang w:eastAsia="zh-CN"/>
        </w:rPr>
        <w:t>时</w:t>
      </w:r>
      <w:r>
        <w:rPr>
          <w:rFonts w:hint="eastAsia" w:ascii="宋体" w:hAnsi="宋体" w:eastAsia="宋体" w:cs="宋体"/>
          <w:highlight w:val="none"/>
          <w:lang w:val="en-US" w:eastAsia="zh-CN"/>
        </w:rPr>
        <w:t>30</w:t>
      </w:r>
      <w:r>
        <w:rPr>
          <w:rFonts w:hint="eastAsia" w:ascii="宋体" w:hAnsi="宋体" w:eastAsia="宋体" w:cs="宋体"/>
          <w:highlight w:val="none"/>
          <w:lang w:eastAsia="zh-CN"/>
        </w:rPr>
        <w:t>分（北京时间）前递</w:t>
      </w:r>
      <w:r>
        <w:rPr>
          <w:rFonts w:hint="eastAsia" w:ascii="宋体" w:hAnsi="宋体" w:eastAsia="宋体" w:cs="宋体"/>
          <w:lang w:eastAsia="zh-CN"/>
        </w:rPr>
        <w:t>交投标文件。</w:t>
      </w:r>
    </w:p>
    <w:p w14:paraId="422B6B12">
      <w:pPr>
        <w:keepNext w:val="0"/>
        <w:keepLines w:val="0"/>
        <w:pageBreakBefore w:val="0"/>
        <w:widowControl/>
        <w:wordWrap/>
        <w:overflowPunct/>
        <w:topLinePunct w:val="0"/>
        <w:autoSpaceDE w:val="0"/>
        <w:autoSpaceDN w:val="0"/>
        <w:bidi w:val="0"/>
        <w:spacing w:line="360" w:lineRule="auto"/>
        <w:outlineLvl w:val="1"/>
        <w:rPr>
          <w:rFonts w:ascii="宋体" w:hAnsi="宋体" w:eastAsia="宋体" w:cs="宋体"/>
          <w:b/>
          <w:bCs/>
          <w:sz w:val="24"/>
          <w:szCs w:val="24"/>
          <w:lang w:eastAsia="zh-CN"/>
        </w:rPr>
      </w:pPr>
      <w:bookmarkStart w:id="3" w:name="_Toc16842"/>
      <w:bookmarkStart w:id="4" w:name="_Toc21963"/>
      <w:bookmarkStart w:id="5" w:name="_Toc29281"/>
      <w:r>
        <w:rPr>
          <w:rFonts w:hint="eastAsia" w:ascii="宋体" w:hAnsi="宋体" w:eastAsia="宋体" w:cs="宋体"/>
          <w:b/>
          <w:bCs/>
          <w:sz w:val="24"/>
          <w:szCs w:val="24"/>
          <w:lang w:eastAsia="zh-CN"/>
        </w:rPr>
        <w:t>一、项目基本情况</w:t>
      </w:r>
      <w:bookmarkEnd w:id="3"/>
      <w:bookmarkEnd w:id="4"/>
      <w:bookmarkEnd w:id="5"/>
    </w:p>
    <w:p w14:paraId="2D19FB9A">
      <w:pPr>
        <w:keepNext w:val="0"/>
        <w:keepLines w:val="0"/>
        <w:pageBreakBefore w:val="0"/>
        <w:widowControl/>
        <w:wordWrap/>
        <w:overflowPunct/>
        <w:topLinePunct w:val="0"/>
        <w:autoSpaceDE w:val="0"/>
        <w:autoSpaceDN w:val="0"/>
        <w:bidi w:val="0"/>
        <w:spacing w:line="360" w:lineRule="auto"/>
        <w:ind w:firstLine="420" w:firstLineChars="200"/>
        <w:rPr>
          <w:rFonts w:hint="default" w:ascii="宋体" w:hAnsi="宋体" w:eastAsia="宋体" w:cs="宋体"/>
          <w:lang w:val="en-US" w:eastAsia="zh-CN"/>
        </w:rPr>
      </w:pPr>
      <w:r>
        <w:rPr>
          <w:rFonts w:hint="eastAsia" w:ascii="宋体" w:hAnsi="宋体" w:eastAsia="宋体" w:cs="宋体"/>
          <w:lang w:eastAsia="zh-CN"/>
        </w:rPr>
        <w:t>1、项目编号：登封采购-2026-42</w:t>
      </w:r>
      <w:r>
        <w:rPr>
          <w:rFonts w:hint="eastAsia" w:ascii="宋体" w:hAnsi="宋体" w:eastAsia="宋体" w:cs="宋体"/>
          <w:lang w:val="en-US" w:eastAsia="zh-CN"/>
        </w:rPr>
        <w:t xml:space="preserve"> </w:t>
      </w:r>
    </w:p>
    <w:p w14:paraId="5DF03AFA">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lang w:eastAsia="zh-CN"/>
        </w:rPr>
      </w:pPr>
      <w:r>
        <w:rPr>
          <w:rFonts w:hint="eastAsia" w:ascii="宋体" w:hAnsi="宋体" w:eastAsia="宋体" w:cs="宋体"/>
          <w:lang w:eastAsia="zh-CN"/>
        </w:rPr>
        <w:t>2、项目名称：登封市疾病预防控制中心公共卫生能力提升项目</w:t>
      </w:r>
    </w:p>
    <w:p w14:paraId="37ADCEE9">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lang w:eastAsia="zh-CN"/>
        </w:rPr>
      </w:pPr>
      <w:r>
        <w:rPr>
          <w:rFonts w:hint="eastAsia" w:ascii="宋体" w:hAnsi="宋体" w:eastAsia="宋体" w:cs="宋体"/>
          <w:lang w:eastAsia="zh-CN"/>
        </w:rPr>
        <w:t>3、采购方式：公开招标</w:t>
      </w:r>
    </w:p>
    <w:p w14:paraId="0E7D9679">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4、预算金额：</w:t>
      </w:r>
      <w:r>
        <w:rPr>
          <w:rFonts w:hint="eastAsia" w:ascii="宋体" w:hAnsi="宋体" w:eastAsia="宋体" w:cs="宋体"/>
          <w:color w:val="auto"/>
          <w:lang w:val="en-US" w:eastAsia="zh-CN"/>
        </w:rPr>
        <w:t>2600000.00</w:t>
      </w:r>
      <w:r>
        <w:rPr>
          <w:rFonts w:hint="eastAsia" w:ascii="宋体" w:hAnsi="宋体" w:eastAsia="宋体" w:cs="宋体"/>
          <w:color w:val="auto"/>
          <w:lang w:eastAsia="zh-CN"/>
        </w:rPr>
        <w:t>元，最高限价：</w:t>
      </w:r>
      <w:r>
        <w:rPr>
          <w:rFonts w:hint="eastAsia" w:ascii="宋体" w:hAnsi="宋体" w:eastAsia="宋体" w:cs="宋体"/>
          <w:color w:val="auto"/>
          <w:lang w:val="en-US" w:eastAsia="zh-CN"/>
        </w:rPr>
        <w:t>2600000.00</w:t>
      </w:r>
      <w:r>
        <w:rPr>
          <w:rFonts w:hint="eastAsia" w:ascii="宋体" w:hAnsi="宋体" w:eastAsia="宋体" w:cs="宋体"/>
          <w:color w:val="auto"/>
          <w:lang w:eastAsia="zh-CN"/>
        </w:rPr>
        <w:t>元</w:t>
      </w:r>
    </w:p>
    <w:tbl>
      <w:tblPr>
        <w:tblStyle w:val="20"/>
        <w:tblW w:w="494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4"/>
        <w:gridCol w:w="2056"/>
        <w:gridCol w:w="2981"/>
        <w:gridCol w:w="1454"/>
        <w:gridCol w:w="1644"/>
      </w:tblGrid>
      <w:tr w14:paraId="6449D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70" w:type="pct"/>
            <w:vAlign w:val="center"/>
          </w:tcPr>
          <w:p w14:paraId="3FEB7749">
            <w:pPr>
              <w:keepNext w:val="0"/>
              <w:keepLines w:val="0"/>
              <w:pageBreakBefore w:val="0"/>
              <w:widowControl/>
              <w:wordWrap/>
              <w:overflowPunct/>
              <w:topLinePunct w:val="0"/>
              <w:autoSpaceDE w:val="0"/>
              <w:autoSpaceDN w:val="0"/>
              <w:bidi w:val="0"/>
              <w:spacing w:line="360" w:lineRule="auto"/>
              <w:jc w:val="center"/>
              <w:rPr>
                <w:rFonts w:ascii="宋体" w:hAnsi="宋体" w:eastAsia="宋体" w:cs="宋体"/>
                <w:color w:val="auto"/>
              </w:rPr>
            </w:pPr>
            <w:r>
              <w:rPr>
                <w:rFonts w:hint="eastAsia" w:ascii="宋体" w:hAnsi="宋体" w:eastAsia="宋体" w:cs="宋体"/>
                <w:color w:val="auto"/>
              </w:rPr>
              <w:t>序号</w:t>
            </w:r>
          </w:p>
        </w:tc>
        <w:tc>
          <w:tcPr>
            <w:tcW w:w="1144" w:type="pct"/>
            <w:vAlign w:val="center"/>
          </w:tcPr>
          <w:p w14:paraId="23369245">
            <w:pPr>
              <w:keepNext w:val="0"/>
              <w:keepLines w:val="0"/>
              <w:pageBreakBefore w:val="0"/>
              <w:widowControl/>
              <w:wordWrap/>
              <w:overflowPunct/>
              <w:topLinePunct w:val="0"/>
              <w:autoSpaceDE w:val="0"/>
              <w:autoSpaceDN w:val="0"/>
              <w:bidi w:val="0"/>
              <w:spacing w:line="360" w:lineRule="auto"/>
              <w:jc w:val="center"/>
              <w:rPr>
                <w:rFonts w:ascii="宋体" w:hAnsi="宋体" w:eastAsia="宋体" w:cs="宋体"/>
                <w:color w:val="auto"/>
              </w:rPr>
            </w:pPr>
            <w:r>
              <w:rPr>
                <w:rFonts w:hint="eastAsia" w:ascii="宋体" w:hAnsi="宋体" w:eastAsia="宋体" w:cs="宋体"/>
                <w:color w:val="auto"/>
              </w:rPr>
              <w:t>包号</w:t>
            </w:r>
          </w:p>
        </w:tc>
        <w:tc>
          <w:tcPr>
            <w:tcW w:w="1659" w:type="pct"/>
            <w:vAlign w:val="center"/>
          </w:tcPr>
          <w:p w14:paraId="14F3AF66">
            <w:pPr>
              <w:keepNext w:val="0"/>
              <w:keepLines w:val="0"/>
              <w:pageBreakBefore w:val="0"/>
              <w:widowControl/>
              <w:wordWrap/>
              <w:overflowPunct/>
              <w:topLinePunct w:val="0"/>
              <w:autoSpaceDE w:val="0"/>
              <w:autoSpaceDN w:val="0"/>
              <w:bidi w:val="0"/>
              <w:spacing w:line="360" w:lineRule="auto"/>
              <w:jc w:val="center"/>
              <w:rPr>
                <w:rFonts w:ascii="宋体" w:hAnsi="宋体" w:eastAsia="宋体" w:cs="宋体"/>
                <w:color w:val="auto"/>
              </w:rPr>
            </w:pPr>
            <w:r>
              <w:rPr>
                <w:rFonts w:hint="eastAsia" w:ascii="宋体" w:hAnsi="宋体" w:eastAsia="宋体" w:cs="宋体"/>
                <w:color w:val="auto"/>
              </w:rPr>
              <w:t>包名称</w:t>
            </w:r>
          </w:p>
        </w:tc>
        <w:tc>
          <w:tcPr>
            <w:tcW w:w="809" w:type="pct"/>
            <w:vAlign w:val="center"/>
          </w:tcPr>
          <w:p w14:paraId="70A60C02">
            <w:pPr>
              <w:keepNext w:val="0"/>
              <w:keepLines w:val="0"/>
              <w:pageBreakBefore w:val="0"/>
              <w:widowControl/>
              <w:wordWrap/>
              <w:overflowPunct/>
              <w:topLinePunct w:val="0"/>
              <w:autoSpaceDE w:val="0"/>
              <w:autoSpaceDN w:val="0"/>
              <w:bidi w:val="0"/>
              <w:spacing w:line="360" w:lineRule="auto"/>
              <w:jc w:val="center"/>
              <w:rPr>
                <w:rFonts w:ascii="宋体" w:hAnsi="宋体" w:eastAsia="宋体" w:cs="宋体"/>
                <w:color w:val="auto"/>
              </w:rPr>
            </w:pPr>
            <w:r>
              <w:rPr>
                <w:rFonts w:hint="eastAsia" w:ascii="宋体" w:hAnsi="宋体" w:eastAsia="宋体" w:cs="宋体"/>
                <w:color w:val="auto"/>
              </w:rPr>
              <w:t>包预算(元)</w:t>
            </w:r>
          </w:p>
        </w:tc>
        <w:tc>
          <w:tcPr>
            <w:tcW w:w="915" w:type="pct"/>
            <w:vAlign w:val="center"/>
          </w:tcPr>
          <w:p w14:paraId="1E24C91A">
            <w:pPr>
              <w:keepNext w:val="0"/>
              <w:keepLines w:val="0"/>
              <w:pageBreakBefore w:val="0"/>
              <w:widowControl/>
              <w:wordWrap/>
              <w:overflowPunct/>
              <w:topLinePunct w:val="0"/>
              <w:autoSpaceDE w:val="0"/>
              <w:autoSpaceDN w:val="0"/>
              <w:bidi w:val="0"/>
              <w:spacing w:line="360" w:lineRule="auto"/>
              <w:jc w:val="center"/>
              <w:rPr>
                <w:rFonts w:ascii="宋体" w:hAnsi="宋体" w:eastAsia="宋体" w:cs="宋体"/>
                <w:color w:val="auto"/>
              </w:rPr>
            </w:pPr>
            <w:r>
              <w:rPr>
                <w:rFonts w:hint="eastAsia" w:ascii="宋体" w:hAnsi="宋体" w:eastAsia="宋体" w:cs="宋体"/>
                <w:color w:val="auto"/>
              </w:rPr>
              <w:t>包最高限价(元)</w:t>
            </w:r>
          </w:p>
        </w:tc>
      </w:tr>
      <w:tr w14:paraId="1B766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470" w:type="pct"/>
            <w:vAlign w:val="center"/>
          </w:tcPr>
          <w:p w14:paraId="178CB029">
            <w:pPr>
              <w:keepNext w:val="0"/>
              <w:keepLines w:val="0"/>
              <w:pageBreakBefore w:val="0"/>
              <w:widowControl/>
              <w:wordWrap/>
              <w:overflowPunct/>
              <w:topLinePunct w:val="0"/>
              <w:autoSpaceDE w:val="0"/>
              <w:autoSpaceDN w:val="0"/>
              <w:bidi w:val="0"/>
              <w:spacing w:line="360" w:lineRule="auto"/>
              <w:jc w:val="center"/>
              <w:rPr>
                <w:rFonts w:ascii="宋体" w:hAnsi="宋体" w:eastAsia="宋体" w:cs="宋体"/>
                <w:color w:val="auto"/>
              </w:rPr>
            </w:pPr>
            <w:r>
              <w:rPr>
                <w:rFonts w:hint="eastAsia" w:ascii="宋体" w:hAnsi="宋体" w:eastAsia="宋体" w:cs="宋体"/>
                <w:color w:val="auto"/>
              </w:rPr>
              <w:t>1</w:t>
            </w:r>
          </w:p>
        </w:tc>
        <w:tc>
          <w:tcPr>
            <w:tcW w:w="1144" w:type="pct"/>
            <w:vAlign w:val="center"/>
          </w:tcPr>
          <w:p w14:paraId="171078CE">
            <w:pPr>
              <w:keepNext w:val="0"/>
              <w:keepLines w:val="0"/>
              <w:pageBreakBefore w:val="0"/>
              <w:widowControl/>
              <w:wordWrap/>
              <w:overflowPunct/>
              <w:topLinePunct w:val="0"/>
              <w:autoSpaceDE w:val="0"/>
              <w:autoSpaceDN w:val="0"/>
              <w:bidi w:val="0"/>
              <w:spacing w:line="360" w:lineRule="auto"/>
              <w:jc w:val="center"/>
              <w:rPr>
                <w:rFonts w:hint="default" w:ascii="宋体" w:hAnsi="宋体" w:eastAsia="宋体" w:cs="宋体"/>
                <w:color w:val="auto"/>
                <w:lang w:val="en-US" w:eastAsia="zh-CN"/>
              </w:rPr>
            </w:pPr>
            <w:r>
              <w:rPr>
                <w:rFonts w:hint="default" w:ascii="宋体" w:hAnsi="宋体" w:eastAsia="宋体" w:cs="宋体"/>
                <w:color w:val="auto"/>
                <w:lang w:val="en-US" w:eastAsia="zh-CN"/>
              </w:rPr>
              <w:t>登封采购-2026-42</w:t>
            </w:r>
            <w:r>
              <w:rPr>
                <w:rFonts w:hint="eastAsia" w:ascii="宋体" w:hAnsi="宋体" w:eastAsia="宋体" w:cs="宋体"/>
                <w:color w:val="auto"/>
                <w:lang w:val="en-US" w:eastAsia="zh-CN"/>
              </w:rPr>
              <w:t>-1</w:t>
            </w:r>
          </w:p>
        </w:tc>
        <w:tc>
          <w:tcPr>
            <w:tcW w:w="1659" w:type="pct"/>
            <w:vAlign w:val="center"/>
          </w:tcPr>
          <w:p w14:paraId="50F14694">
            <w:pPr>
              <w:keepNext w:val="0"/>
              <w:keepLines w:val="0"/>
              <w:pageBreakBefore w:val="0"/>
              <w:widowControl/>
              <w:wordWrap/>
              <w:overflowPunct/>
              <w:topLinePunct w:val="0"/>
              <w:autoSpaceDE w:val="0"/>
              <w:autoSpaceDN w:val="0"/>
              <w:bidi w:val="0"/>
              <w:spacing w:line="360" w:lineRule="auto"/>
              <w:jc w:val="center"/>
              <w:rPr>
                <w:rFonts w:ascii="宋体" w:hAnsi="宋体" w:eastAsia="宋体" w:cs="宋体"/>
                <w:color w:val="auto"/>
                <w:lang w:eastAsia="zh-CN"/>
              </w:rPr>
            </w:pPr>
            <w:r>
              <w:rPr>
                <w:rFonts w:hint="eastAsia" w:ascii="宋体" w:hAnsi="宋体" w:eastAsia="宋体" w:cs="宋体"/>
                <w:color w:val="auto"/>
                <w:lang w:val="en-US" w:eastAsia="zh-CN"/>
              </w:rPr>
              <w:t>登封市疾病预防控制中心公共卫生能力提升项目</w:t>
            </w:r>
          </w:p>
        </w:tc>
        <w:tc>
          <w:tcPr>
            <w:tcW w:w="809" w:type="pct"/>
            <w:vAlign w:val="center"/>
          </w:tcPr>
          <w:p w14:paraId="22601CF4">
            <w:pPr>
              <w:keepNext w:val="0"/>
              <w:keepLines w:val="0"/>
              <w:pageBreakBefore w:val="0"/>
              <w:widowControl/>
              <w:wordWrap/>
              <w:overflowPunct/>
              <w:topLinePunct w:val="0"/>
              <w:autoSpaceDE w:val="0"/>
              <w:autoSpaceDN w:val="0"/>
              <w:bidi w:val="0"/>
              <w:spacing w:line="360" w:lineRule="auto"/>
              <w:jc w:val="center"/>
              <w:rPr>
                <w:rFonts w:ascii="宋体" w:hAnsi="宋体" w:eastAsia="宋体" w:cs="宋体"/>
                <w:color w:val="auto"/>
              </w:rPr>
            </w:pPr>
            <w:r>
              <w:rPr>
                <w:rFonts w:hint="eastAsia" w:ascii="宋体" w:hAnsi="宋体" w:eastAsia="宋体" w:cs="宋体"/>
                <w:color w:val="auto"/>
                <w:lang w:val="en-US" w:eastAsia="zh-CN"/>
              </w:rPr>
              <w:t>2600000.00</w:t>
            </w:r>
          </w:p>
        </w:tc>
        <w:tc>
          <w:tcPr>
            <w:tcW w:w="915" w:type="pct"/>
            <w:vAlign w:val="center"/>
          </w:tcPr>
          <w:p w14:paraId="3C11C056">
            <w:pPr>
              <w:keepNext w:val="0"/>
              <w:keepLines w:val="0"/>
              <w:pageBreakBefore w:val="0"/>
              <w:widowControl/>
              <w:wordWrap/>
              <w:overflowPunct/>
              <w:topLinePunct w:val="0"/>
              <w:autoSpaceDE w:val="0"/>
              <w:autoSpaceDN w:val="0"/>
              <w:bidi w:val="0"/>
              <w:spacing w:line="360" w:lineRule="auto"/>
              <w:jc w:val="center"/>
              <w:rPr>
                <w:rFonts w:ascii="宋体" w:hAnsi="宋体" w:eastAsia="宋体" w:cs="宋体"/>
                <w:color w:val="auto"/>
              </w:rPr>
            </w:pPr>
            <w:r>
              <w:rPr>
                <w:rFonts w:hint="eastAsia" w:ascii="宋体" w:hAnsi="宋体" w:eastAsia="宋体" w:cs="宋体"/>
                <w:color w:val="auto"/>
                <w:lang w:val="en-US" w:eastAsia="zh-CN"/>
              </w:rPr>
              <w:t>2600000.00</w:t>
            </w:r>
          </w:p>
        </w:tc>
      </w:tr>
    </w:tbl>
    <w:p w14:paraId="43CDDF1F">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color w:val="auto"/>
          <w:lang w:eastAsia="zh-CN"/>
        </w:rPr>
      </w:pPr>
      <w:r>
        <w:rPr>
          <w:rFonts w:hint="eastAsia" w:ascii="宋体" w:hAnsi="宋体" w:eastAsia="宋体" w:cs="宋体"/>
          <w:color w:val="auto"/>
          <w:lang w:eastAsia="zh-CN"/>
        </w:rPr>
        <w:t>5、采购需求(包括但不限于标的的名称、数量、简要技术需求或服务要求等)</w:t>
      </w:r>
    </w:p>
    <w:p w14:paraId="536CBC5C">
      <w:pPr>
        <w:keepNext w:val="0"/>
        <w:keepLines w:val="0"/>
        <w:pageBreakBefore w:val="0"/>
        <w:widowControl/>
        <w:tabs>
          <w:tab w:val="left" w:pos="1400"/>
        </w:tabs>
        <w:kinsoku/>
        <w:wordWrap/>
        <w:overflowPunct/>
        <w:topLinePunct w:val="0"/>
        <w:autoSpaceDE w:val="0"/>
        <w:autoSpaceDN w:val="0"/>
        <w:bidi w:val="0"/>
        <w:adjustRightInd/>
        <w:snapToGrid/>
        <w:spacing w:line="360" w:lineRule="auto"/>
        <w:ind w:firstLine="420" w:firstLineChars="200"/>
        <w:textAlignment w:val="auto"/>
        <w:rPr>
          <w:rFonts w:hint="default" w:ascii="宋体" w:hAnsi="宋体" w:eastAsia="宋体" w:cs="宋体"/>
          <w:color w:val="auto"/>
          <w:highlight w:val="none"/>
          <w:lang w:val="en-US" w:eastAsia="zh-CN" w:bidi="zh-CN"/>
        </w:rPr>
      </w:pPr>
      <w:r>
        <w:rPr>
          <w:rFonts w:hint="eastAsia" w:ascii="宋体" w:hAnsi="宋体" w:eastAsia="宋体" w:cs="宋体"/>
          <w:color w:val="auto"/>
          <w:highlight w:val="none"/>
          <w:lang w:eastAsia="zh-CN" w:bidi="zh-CN"/>
        </w:rPr>
        <w:t>5.1采购内容：</w:t>
      </w:r>
      <w:r>
        <w:rPr>
          <w:rFonts w:hint="eastAsia" w:ascii="宋体" w:hAnsi="宋体" w:eastAsia="宋体" w:cs="宋体"/>
          <w:color w:val="auto"/>
          <w:highlight w:val="none"/>
          <w:lang w:val="en-US" w:eastAsia="zh-CN" w:bidi="zh-CN"/>
        </w:rPr>
        <w:t>采购</w:t>
      </w:r>
      <w:r>
        <w:rPr>
          <w:rFonts w:hint="eastAsia" w:ascii="宋体" w:hAnsi="宋体" w:eastAsia="宋体" w:cs="宋体"/>
          <w:color w:val="auto"/>
          <w:highlight w:val="none"/>
          <w:lang w:eastAsia="zh-CN" w:bidi="zh-CN"/>
        </w:rPr>
        <w:t>全自动多参数滴定分析仪、蒸发恒重分析仪、全自动游离二氧化硅前处理仪、全自动流动注射分析仪、全自动核酸处理仪、生物安全柜、数字化摄影X射线机（DR）</w:t>
      </w:r>
      <w:r>
        <w:rPr>
          <w:rFonts w:hint="eastAsia" w:ascii="宋体" w:hAnsi="宋体" w:eastAsia="宋体" w:cs="宋体"/>
          <w:color w:val="auto"/>
          <w:highlight w:val="none"/>
          <w:lang w:val="en-US" w:eastAsia="zh-CN" w:bidi="zh-CN"/>
        </w:rPr>
        <w:t>等设备各1套及伴随的售后和质保服务。</w:t>
      </w:r>
    </w:p>
    <w:p w14:paraId="39A34E37">
      <w:pPr>
        <w:keepNext w:val="0"/>
        <w:keepLines w:val="0"/>
        <w:pageBreakBefore w:val="0"/>
        <w:widowControl/>
        <w:tabs>
          <w:tab w:val="left" w:pos="1400"/>
        </w:tabs>
        <w:kinsoku/>
        <w:wordWrap/>
        <w:overflowPunct/>
        <w:topLinePunct w:val="0"/>
        <w:autoSpaceDE w:val="0"/>
        <w:autoSpaceDN w:val="0"/>
        <w:bidi w:val="0"/>
        <w:adjustRightInd/>
        <w:snapToGrid/>
        <w:spacing w:line="360" w:lineRule="auto"/>
        <w:ind w:firstLine="420" w:firstLineChars="200"/>
        <w:textAlignment w:val="auto"/>
        <w:rPr>
          <w:rFonts w:ascii="宋体" w:hAnsi="宋体" w:eastAsia="宋体" w:cs="宋体"/>
          <w:color w:val="auto"/>
          <w:highlight w:val="none"/>
          <w:lang w:eastAsia="zh-CN" w:bidi="zh-CN"/>
        </w:rPr>
      </w:pPr>
      <w:r>
        <w:rPr>
          <w:rFonts w:hint="eastAsia" w:ascii="宋体" w:hAnsi="宋体" w:eastAsia="宋体" w:cs="宋体"/>
          <w:color w:val="auto"/>
          <w:highlight w:val="none"/>
          <w:lang w:val="zh-CN" w:eastAsia="zh-CN" w:bidi="zh-CN"/>
        </w:rPr>
        <w:t>5.</w:t>
      </w:r>
      <w:r>
        <w:rPr>
          <w:rFonts w:hint="eastAsia" w:ascii="宋体" w:hAnsi="宋体" w:eastAsia="宋体" w:cs="宋体"/>
          <w:color w:val="auto"/>
          <w:highlight w:val="none"/>
          <w:lang w:eastAsia="zh-CN" w:bidi="zh-CN"/>
        </w:rPr>
        <w:t>2标包划分</w:t>
      </w:r>
      <w:r>
        <w:rPr>
          <w:rFonts w:hint="eastAsia" w:ascii="宋体" w:hAnsi="宋体" w:eastAsia="宋体" w:cs="宋体"/>
          <w:color w:val="auto"/>
          <w:highlight w:val="none"/>
          <w:lang w:val="zh-CN" w:eastAsia="zh-CN" w:bidi="zh-CN"/>
        </w:rPr>
        <w:t>：</w:t>
      </w:r>
      <w:r>
        <w:rPr>
          <w:rFonts w:hint="eastAsia" w:ascii="宋体" w:hAnsi="宋体" w:eastAsia="宋体" w:cs="宋体"/>
          <w:color w:val="auto"/>
          <w:highlight w:val="none"/>
          <w:lang w:eastAsia="zh-CN" w:bidi="zh-CN"/>
        </w:rPr>
        <w:t>本项目共划分为1个标包。</w:t>
      </w:r>
    </w:p>
    <w:p w14:paraId="527F6533">
      <w:pPr>
        <w:keepNext w:val="0"/>
        <w:keepLines w:val="0"/>
        <w:pageBreakBefore w:val="0"/>
        <w:widowControl/>
        <w:tabs>
          <w:tab w:val="left" w:pos="1400"/>
        </w:tabs>
        <w:kinsoku/>
        <w:wordWrap/>
        <w:overflowPunct/>
        <w:topLinePunct w:val="0"/>
        <w:autoSpaceDE w:val="0"/>
        <w:autoSpaceDN w:val="0"/>
        <w:bidi w:val="0"/>
        <w:adjustRightInd/>
        <w:snapToGrid/>
        <w:spacing w:line="360" w:lineRule="auto"/>
        <w:ind w:firstLine="420" w:firstLineChars="200"/>
        <w:textAlignment w:val="auto"/>
        <w:rPr>
          <w:rFonts w:ascii="宋体" w:hAnsi="宋体" w:eastAsia="宋体" w:cs="宋体"/>
          <w:color w:val="auto"/>
          <w:highlight w:val="none"/>
          <w:lang w:eastAsia="zh-CN" w:bidi="zh-CN"/>
        </w:rPr>
      </w:pPr>
      <w:r>
        <w:rPr>
          <w:rFonts w:hint="eastAsia" w:ascii="宋体" w:hAnsi="宋体" w:eastAsia="宋体" w:cs="宋体"/>
          <w:color w:val="auto"/>
          <w:highlight w:val="none"/>
          <w:lang w:val="zh-CN" w:eastAsia="zh-CN" w:bidi="zh-CN"/>
        </w:rPr>
        <w:t>5.</w:t>
      </w:r>
      <w:r>
        <w:rPr>
          <w:rFonts w:hint="eastAsia" w:ascii="宋体" w:hAnsi="宋体" w:eastAsia="宋体" w:cs="宋体"/>
          <w:color w:val="auto"/>
          <w:highlight w:val="none"/>
          <w:lang w:eastAsia="zh-CN" w:bidi="zh-CN"/>
        </w:rPr>
        <w:t>3</w:t>
      </w:r>
      <w:r>
        <w:rPr>
          <w:rFonts w:hint="eastAsia" w:ascii="宋体" w:hAnsi="宋体" w:eastAsia="宋体" w:cs="宋体"/>
          <w:color w:val="auto"/>
          <w:highlight w:val="none"/>
          <w:lang w:val="en-US" w:eastAsia="zh-CN" w:bidi="zh-CN"/>
        </w:rPr>
        <w:t>交货期</w:t>
      </w:r>
      <w:r>
        <w:rPr>
          <w:rFonts w:hint="eastAsia" w:ascii="宋体" w:hAnsi="宋体" w:eastAsia="宋体" w:cs="宋体"/>
          <w:color w:val="auto"/>
          <w:highlight w:val="none"/>
          <w:lang w:val="zh-CN" w:eastAsia="zh-CN" w:bidi="zh-CN"/>
        </w:rPr>
        <w:t>：</w:t>
      </w:r>
      <w:r>
        <w:rPr>
          <w:rFonts w:hint="eastAsia" w:ascii="宋体" w:hAnsi="宋体" w:eastAsia="宋体" w:cs="宋体"/>
          <w:color w:val="auto"/>
          <w:highlight w:val="none"/>
          <w:lang w:val="en-US" w:eastAsia="zh-CN" w:bidi="zh-CN"/>
        </w:rPr>
        <w:t xml:space="preserve">合同生效后30日历天。 </w:t>
      </w:r>
    </w:p>
    <w:p w14:paraId="773B2D14">
      <w:pPr>
        <w:keepNext w:val="0"/>
        <w:keepLines w:val="0"/>
        <w:pageBreakBefore w:val="0"/>
        <w:widowControl/>
        <w:tabs>
          <w:tab w:val="left" w:pos="1400"/>
        </w:tabs>
        <w:kinsoku/>
        <w:wordWrap/>
        <w:overflowPunct/>
        <w:topLinePunct w:val="0"/>
        <w:autoSpaceDE w:val="0"/>
        <w:autoSpaceDN w:val="0"/>
        <w:bidi w:val="0"/>
        <w:adjustRightInd/>
        <w:snapToGrid/>
        <w:spacing w:line="360" w:lineRule="auto"/>
        <w:ind w:firstLine="420" w:firstLineChars="200"/>
        <w:textAlignment w:val="auto"/>
        <w:rPr>
          <w:rFonts w:hint="default" w:ascii="宋体" w:hAnsi="宋体" w:eastAsia="宋体" w:cs="宋体"/>
          <w:color w:val="auto"/>
          <w:highlight w:val="none"/>
          <w:lang w:val="en-US" w:eastAsia="zh-CN" w:bidi="zh-CN"/>
        </w:rPr>
      </w:pPr>
      <w:r>
        <w:rPr>
          <w:rFonts w:hint="eastAsia" w:ascii="宋体" w:hAnsi="宋体" w:eastAsia="宋体" w:cs="宋体"/>
          <w:color w:val="auto"/>
          <w:highlight w:val="none"/>
          <w:lang w:val="zh-CN" w:eastAsia="zh-CN" w:bidi="zh-CN"/>
        </w:rPr>
        <w:t>5.</w:t>
      </w:r>
      <w:r>
        <w:rPr>
          <w:rFonts w:hint="eastAsia" w:ascii="宋体" w:hAnsi="宋体" w:eastAsia="宋体" w:cs="宋体"/>
          <w:color w:val="auto"/>
          <w:highlight w:val="none"/>
          <w:lang w:val="en-US" w:eastAsia="zh-CN" w:bidi="zh-CN"/>
        </w:rPr>
        <w:t>4交货地点：采购人指定的地点。</w:t>
      </w:r>
    </w:p>
    <w:p w14:paraId="664E547E">
      <w:pPr>
        <w:keepNext w:val="0"/>
        <w:keepLines w:val="0"/>
        <w:pageBreakBefore w:val="0"/>
        <w:widowControl/>
        <w:tabs>
          <w:tab w:val="left" w:pos="1400"/>
        </w:tabs>
        <w:kinsoku/>
        <w:wordWrap/>
        <w:overflowPunct/>
        <w:topLinePunct w:val="0"/>
        <w:autoSpaceDE w:val="0"/>
        <w:autoSpaceDN w:val="0"/>
        <w:bidi w:val="0"/>
        <w:adjustRightInd/>
        <w:snapToGrid/>
        <w:spacing w:line="360" w:lineRule="auto"/>
        <w:ind w:firstLine="420" w:firstLineChars="200"/>
        <w:textAlignment w:val="auto"/>
        <w:rPr>
          <w:rFonts w:ascii="宋体" w:hAnsi="宋体" w:eastAsia="宋体" w:cs="宋体"/>
          <w:highlight w:val="none"/>
          <w:lang w:eastAsia="zh-CN" w:bidi="zh-CN"/>
        </w:rPr>
      </w:pPr>
      <w:r>
        <w:rPr>
          <w:rFonts w:hint="eastAsia" w:ascii="宋体" w:hAnsi="宋体" w:eastAsia="宋体" w:cs="宋体"/>
          <w:color w:val="auto"/>
          <w:highlight w:val="none"/>
          <w:lang w:eastAsia="zh-CN" w:bidi="zh-CN"/>
        </w:rPr>
        <w:t>5.5</w:t>
      </w:r>
      <w:r>
        <w:rPr>
          <w:rFonts w:hint="eastAsia" w:ascii="宋体" w:hAnsi="宋体" w:eastAsia="宋体" w:cs="宋体"/>
          <w:color w:val="auto"/>
          <w:highlight w:val="none"/>
          <w:lang w:val="en-US" w:eastAsia="zh-CN" w:bidi="zh-CN"/>
        </w:rPr>
        <w:t>质量标准：合格</w:t>
      </w:r>
      <w:r>
        <w:rPr>
          <w:rFonts w:hint="eastAsia" w:ascii="宋体" w:hAnsi="宋体" w:eastAsia="宋体" w:cs="宋体"/>
          <w:highlight w:val="none"/>
          <w:lang w:val="zh-CN" w:eastAsia="zh-CN" w:bidi="zh-CN"/>
        </w:rPr>
        <w:t>。</w:t>
      </w:r>
    </w:p>
    <w:p w14:paraId="7F0D4B93">
      <w:pPr>
        <w:keepNext w:val="0"/>
        <w:keepLines w:val="0"/>
        <w:pageBreakBefore w:val="0"/>
        <w:widowControl/>
        <w:tabs>
          <w:tab w:val="left" w:pos="1400"/>
        </w:tabs>
        <w:kinsoku/>
        <w:wordWrap/>
        <w:overflowPunct/>
        <w:topLinePunct w:val="0"/>
        <w:autoSpaceDE w:val="0"/>
        <w:autoSpaceDN w:val="0"/>
        <w:bidi w:val="0"/>
        <w:adjustRightInd/>
        <w:snapToGrid/>
        <w:spacing w:line="360" w:lineRule="auto"/>
        <w:ind w:firstLine="420" w:firstLineChars="200"/>
        <w:textAlignment w:val="auto"/>
        <w:rPr>
          <w:rFonts w:hint="default" w:ascii="宋体" w:hAnsi="宋体" w:eastAsia="宋体" w:cs="宋体"/>
          <w:highlight w:val="none"/>
          <w:lang w:val="en-US" w:eastAsia="zh-CN" w:bidi="zh-CN"/>
        </w:rPr>
      </w:pPr>
      <w:r>
        <w:rPr>
          <w:rFonts w:hint="eastAsia" w:ascii="宋体" w:hAnsi="宋体" w:eastAsia="宋体" w:cs="宋体"/>
          <w:highlight w:val="none"/>
          <w:lang w:val="en-US" w:eastAsia="zh-CN" w:bidi="zh-CN"/>
        </w:rPr>
        <w:t>5.6质量保证期：不少于2年。</w:t>
      </w:r>
    </w:p>
    <w:p w14:paraId="2051CCE7">
      <w:pPr>
        <w:keepNext w:val="0"/>
        <w:keepLines w:val="0"/>
        <w:pageBreakBefore w:val="0"/>
        <w:widowControl/>
        <w:tabs>
          <w:tab w:val="left" w:pos="1400"/>
        </w:tabs>
        <w:kinsoku/>
        <w:wordWrap/>
        <w:overflowPunct/>
        <w:topLinePunct w:val="0"/>
        <w:autoSpaceDE w:val="0"/>
        <w:autoSpaceDN w:val="0"/>
        <w:bidi w:val="0"/>
        <w:adjustRightInd/>
        <w:snapToGrid/>
        <w:spacing w:line="360" w:lineRule="auto"/>
        <w:ind w:firstLine="420" w:firstLineChars="200"/>
        <w:textAlignment w:val="auto"/>
        <w:rPr>
          <w:rFonts w:hint="default" w:ascii="宋体" w:hAnsi="宋体" w:eastAsia="宋体" w:cs="宋体"/>
          <w:highlight w:val="none"/>
          <w:lang w:val="en-US" w:eastAsia="zh-CN" w:bidi="zh-CN"/>
        </w:rPr>
      </w:pPr>
      <w:r>
        <w:rPr>
          <w:rFonts w:hint="eastAsia" w:ascii="宋体" w:hAnsi="宋体" w:eastAsia="宋体" w:cs="宋体"/>
          <w:highlight w:val="none"/>
          <w:lang w:val="zh-CN" w:eastAsia="zh-CN" w:bidi="zh-CN"/>
        </w:rPr>
        <w:t>6、合同履行期限：</w:t>
      </w:r>
      <w:r>
        <w:rPr>
          <w:rFonts w:hint="eastAsia" w:ascii="宋体" w:hAnsi="宋体" w:eastAsia="宋体" w:cs="宋体"/>
          <w:highlight w:val="none"/>
          <w:lang w:val="en-US" w:eastAsia="zh-CN" w:bidi="zh-CN"/>
        </w:rPr>
        <w:t>至质保期结束。</w:t>
      </w:r>
    </w:p>
    <w:p w14:paraId="18DB9F24">
      <w:pPr>
        <w:keepNext w:val="0"/>
        <w:keepLines w:val="0"/>
        <w:pageBreakBefore w:val="0"/>
        <w:widowControl/>
        <w:tabs>
          <w:tab w:val="left" w:pos="1400"/>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lang w:val="zh-CN" w:eastAsia="zh-CN" w:bidi="zh-CN"/>
        </w:rPr>
      </w:pPr>
      <w:r>
        <w:rPr>
          <w:rFonts w:hint="eastAsia" w:ascii="宋体" w:hAnsi="宋体" w:eastAsia="宋体" w:cs="宋体"/>
          <w:lang w:val="zh-CN" w:eastAsia="zh-CN" w:bidi="zh-CN"/>
        </w:rPr>
        <w:t>7、本项目是否接受联合体投标：否</w:t>
      </w:r>
    </w:p>
    <w:p w14:paraId="16D29EE3">
      <w:pPr>
        <w:keepNext w:val="0"/>
        <w:keepLines w:val="0"/>
        <w:pageBreakBefore w:val="0"/>
        <w:widowControl/>
        <w:tabs>
          <w:tab w:val="left" w:pos="1400"/>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lang w:val="zh-CN" w:eastAsia="zh-CN" w:bidi="zh-CN"/>
        </w:rPr>
      </w:pPr>
      <w:r>
        <w:rPr>
          <w:rFonts w:hint="eastAsia" w:ascii="宋体" w:hAnsi="宋体" w:eastAsia="宋体" w:cs="宋体"/>
          <w:lang w:val="zh-CN" w:eastAsia="zh-CN" w:bidi="zh-CN"/>
        </w:rPr>
        <w:t>8、是否接受进口产品：</w:t>
      </w:r>
      <w:r>
        <w:rPr>
          <w:rFonts w:hint="eastAsia" w:ascii="宋体" w:hAnsi="宋体" w:eastAsia="宋体" w:cs="宋体"/>
          <w:lang w:val="en-US" w:eastAsia="zh-CN" w:bidi="zh-CN"/>
        </w:rPr>
        <w:t>是</w:t>
      </w:r>
    </w:p>
    <w:p w14:paraId="7E3C5F4F">
      <w:pPr>
        <w:keepNext w:val="0"/>
        <w:keepLines w:val="0"/>
        <w:pageBreakBefore w:val="0"/>
        <w:widowControl/>
        <w:tabs>
          <w:tab w:val="left" w:pos="1400"/>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lang w:val="zh-CN" w:eastAsia="zh-CN" w:bidi="zh-CN"/>
        </w:rPr>
      </w:pPr>
      <w:r>
        <w:rPr>
          <w:rFonts w:hint="eastAsia" w:ascii="宋体" w:hAnsi="宋体" w:eastAsia="宋体" w:cs="宋体"/>
          <w:lang w:val="zh-CN" w:eastAsia="zh-CN" w:bidi="zh-CN"/>
        </w:rPr>
        <w:t>9、是否专门面向中小企业：否</w:t>
      </w:r>
    </w:p>
    <w:p w14:paraId="59B19D0A">
      <w:pPr>
        <w:keepNext w:val="0"/>
        <w:keepLines w:val="0"/>
        <w:pageBreakBefore w:val="0"/>
        <w:widowControl/>
        <w:wordWrap/>
        <w:overflowPunct/>
        <w:topLinePunct w:val="0"/>
        <w:autoSpaceDE w:val="0"/>
        <w:autoSpaceDN w:val="0"/>
        <w:bidi w:val="0"/>
        <w:spacing w:line="360" w:lineRule="auto"/>
        <w:outlineLvl w:val="1"/>
        <w:rPr>
          <w:rFonts w:ascii="宋体" w:hAnsi="宋体" w:eastAsia="宋体" w:cs="宋体"/>
          <w:b/>
          <w:bCs/>
          <w:sz w:val="24"/>
          <w:szCs w:val="24"/>
          <w:lang w:eastAsia="zh-CN"/>
        </w:rPr>
      </w:pPr>
      <w:bookmarkStart w:id="6" w:name="_Toc5482"/>
      <w:bookmarkStart w:id="7" w:name="_Toc26314"/>
      <w:bookmarkStart w:id="8" w:name="_Toc5414"/>
      <w:r>
        <w:rPr>
          <w:rFonts w:hint="eastAsia" w:ascii="宋体" w:hAnsi="宋体" w:eastAsia="宋体" w:cs="宋体"/>
          <w:b/>
          <w:bCs/>
          <w:sz w:val="24"/>
          <w:szCs w:val="24"/>
          <w:lang w:eastAsia="zh-CN"/>
        </w:rPr>
        <w:t>二、申请人资格要求：</w:t>
      </w:r>
      <w:bookmarkEnd w:id="6"/>
      <w:bookmarkEnd w:id="7"/>
      <w:bookmarkEnd w:id="8"/>
    </w:p>
    <w:p w14:paraId="0DC089B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lang w:eastAsia="zh-CN"/>
        </w:rPr>
      </w:pPr>
      <w:r>
        <w:rPr>
          <w:rFonts w:hint="eastAsia" w:ascii="宋体" w:hAnsi="宋体" w:eastAsia="宋体" w:cs="宋体"/>
          <w:lang w:eastAsia="zh-CN"/>
        </w:rPr>
        <w:t>1、满足《中华人民共和国政府采购法》第二十二条规定。</w:t>
      </w:r>
    </w:p>
    <w:p w14:paraId="36F72FF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lang w:eastAsia="zh-CN"/>
        </w:rPr>
      </w:pPr>
      <w:r>
        <w:rPr>
          <w:rFonts w:hint="eastAsia" w:ascii="宋体" w:hAnsi="宋体" w:eastAsia="宋体" w:cs="宋体"/>
          <w:lang w:eastAsia="zh-CN"/>
        </w:rPr>
        <w:t>2、落实政府采购政策满足的资格要求：/。</w:t>
      </w:r>
    </w:p>
    <w:p w14:paraId="53D4DC0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lang w:eastAsia="zh-CN"/>
        </w:rPr>
      </w:pPr>
      <w:r>
        <w:rPr>
          <w:rFonts w:hint="eastAsia" w:ascii="宋体" w:hAnsi="宋体" w:eastAsia="宋体" w:cs="宋体"/>
          <w:lang w:eastAsia="zh-CN"/>
        </w:rPr>
        <w:t>3、本项目的特定资格要求：</w:t>
      </w:r>
    </w:p>
    <w:p w14:paraId="42FB333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lang w:val="en-US" w:eastAsia="zh-CN"/>
        </w:rPr>
      </w:pPr>
      <w:r>
        <w:rPr>
          <w:rFonts w:hint="eastAsia" w:ascii="宋体" w:hAnsi="宋体" w:eastAsia="宋体" w:cs="宋体"/>
          <w:lang w:val="en-US" w:eastAsia="zh-CN"/>
        </w:rPr>
        <w:t>3.1投标产品须符合中华人民共和国国务院令第739号修订后的《医疗器械监督管理条例》相关规定，取得医疗器械注册证或备案凭证；依法免于注册或备案的,提供依法免注册或备案的证明材料。</w:t>
      </w:r>
    </w:p>
    <w:p w14:paraId="2CDEDB1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lang w:val="en-US" w:eastAsia="zh-CN"/>
        </w:rPr>
      </w:pPr>
      <w:r>
        <w:rPr>
          <w:rFonts w:hint="eastAsia" w:ascii="宋体" w:hAnsi="宋体" w:eastAsia="宋体" w:cs="宋体"/>
          <w:lang w:val="en-US" w:eastAsia="zh-CN"/>
        </w:rPr>
        <w:t>3.2投标人为代理商或经销商投标时须具有医疗器械经营许可证或医疗器械经营备案凭证（从事第一类医疗器械经营活动的除外）；投标人为境内生产企业投标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CC87F4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lang w:eastAsia="zh-CN"/>
        </w:rPr>
      </w:pPr>
      <w:r>
        <w:rPr>
          <w:rFonts w:hint="eastAsia" w:ascii="宋体" w:hAnsi="宋体" w:eastAsia="宋体" w:cs="宋体"/>
          <w:lang w:val="en-US" w:eastAsia="zh-CN"/>
        </w:rPr>
        <w:t>3.3</w:t>
      </w:r>
      <w:r>
        <w:rPr>
          <w:rFonts w:hint="eastAsia" w:ascii="宋体" w:hAnsi="宋体" w:eastAsia="宋体" w:cs="宋体"/>
          <w:lang w:eastAsia="zh-CN"/>
        </w:rPr>
        <w:t>单位负责人为同一人或者存在控股关系、参股关系、管理关系的不同单位，不得参加同一标段投标或未划分标段的同一招标项目投标。</w:t>
      </w:r>
    </w:p>
    <w:p w14:paraId="58B798A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eastAsia="宋体" w:cs="宋体"/>
          <w:lang w:val="en-US" w:eastAsia="zh-CN"/>
        </w:rPr>
        <w:t>4</w:t>
      </w:r>
      <w:r>
        <w:rPr>
          <w:rFonts w:hint="eastAsia" w:ascii="宋体" w:hAnsi="宋体" w:eastAsia="宋体" w:cs="宋体"/>
          <w:lang w:eastAsia="zh-CN"/>
        </w:rPr>
        <w:t>根据《关于在政府采购活动中查询及使用信用记录有关问题的通知》(财库[2016]125号)的规定，对列入失信被执行人、重大税收违法失信主体、政府采购严重违法失信行为记录名单的投标供应商，拒绝参与本项目政府采购活动；采购人或采购代理机构查询渠道为，失信被执行人查询渠道：“中国执行信息公开网”网站；重大税收违法失信主体查询渠道：“信用中国”网站；政府采购严重违法失信行为查询渠道：“中国政府采购网”网站。</w:t>
      </w:r>
    </w:p>
    <w:p w14:paraId="15446009">
      <w:pPr>
        <w:keepNext w:val="0"/>
        <w:keepLines w:val="0"/>
        <w:pageBreakBefore w:val="0"/>
        <w:widowControl/>
        <w:wordWrap/>
        <w:overflowPunct/>
        <w:topLinePunct w:val="0"/>
        <w:autoSpaceDE w:val="0"/>
        <w:autoSpaceDN w:val="0"/>
        <w:bidi w:val="0"/>
        <w:spacing w:line="360" w:lineRule="auto"/>
        <w:outlineLvl w:val="1"/>
        <w:rPr>
          <w:rFonts w:ascii="宋体" w:hAnsi="宋体" w:eastAsia="宋体" w:cs="宋体"/>
          <w:b/>
          <w:bCs/>
          <w:sz w:val="24"/>
          <w:szCs w:val="24"/>
          <w:lang w:eastAsia="zh-CN"/>
        </w:rPr>
      </w:pPr>
      <w:bookmarkStart w:id="9" w:name="_Toc29686"/>
      <w:bookmarkStart w:id="10" w:name="_Toc5518"/>
      <w:bookmarkStart w:id="11" w:name="_Toc202"/>
      <w:r>
        <w:rPr>
          <w:rFonts w:hint="eastAsia" w:ascii="宋体" w:hAnsi="宋体" w:eastAsia="宋体" w:cs="宋体"/>
          <w:b/>
          <w:bCs/>
          <w:sz w:val="24"/>
          <w:szCs w:val="24"/>
          <w:lang w:eastAsia="zh-CN"/>
        </w:rPr>
        <w:t>三、获取招标文件</w:t>
      </w:r>
      <w:bookmarkEnd w:id="9"/>
      <w:bookmarkEnd w:id="10"/>
      <w:bookmarkEnd w:id="11"/>
    </w:p>
    <w:p w14:paraId="16241180">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lang w:eastAsia="zh-CN"/>
        </w:rPr>
      </w:pPr>
      <w:r>
        <w:rPr>
          <w:rFonts w:hint="eastAsia" w:ascii="宋体" w:hAnsi="宋体" w:eastAsia="宋体" w:cs="宋体"/>
          <w:lang w:eastAsia="zh-CN"/>
        </w:rPr>
        <w:t>1.时间：20</w:t>
      </w:r>
      <w:r>
        <w:rPr>
          <w:rFonts w:hint="eastAsia" w:ascii="宋体" w:hAnsi="宋体" w:eastAsia="宋体" w:cs="宋体"/>
          <w:lang w:val="en-US" w:eastAsia="zh-CN"/>
        </w:rPr>
        <w:t>26</w:t>
      </w:r>
      <w:r>
        <w:rPr>
          <w:rFonts w:hint="eastAsia" w:ascii="宋体" w:hAnsi="宋体" w:eastAsia="宋体" w:cs="宋体"/>
          <w:lang w:eastAsia="zh-CN"/>
        </w:rPr>
        <w:t>年</w:t>
      </w:r>
      <w:r>
        <w:rPr>
          <w:rFonts w:hint="eastAsia" w:ascii="宋体" w:hAnsi="宋体" w:eastAsia="宋体" w:cs="宋体"/>
          <w:u w:val="single"/>
          <w:lang w:val="en-US" w:eastAsia="zh-CN"/>
        </w:rPr>
        <w:t>5</w:t>
      </w:r>
      <w:r>
        <w:rPr>
          <w:rFonts w:hint="eastAsia" w:ascii="宋体" w:hAnsi="宋体" w:eastAsia="宋体" w:cs="宋体"/>
          <w:lang w:eastAsia="zh-CN"/>
        </w:rPr>
        <w:t>月</w:t>
      </w:r>
      <w:r>
        <w:rPr>
          <w:rFonts w:hint="eastAsia" w:ascii="宋体" w:hAnsi="宋体" w:eastAsia="宋体" w:cs="宋体"/>
          <w:u w:val="single"/>
          <w:lang w:val="en-US" w:eastAsia="zh-CN"/>
        </w:rPr>
        <w:t>29</w:t>
      </w:r>
      <w:r>
        <w:rPr>
          <w:rFonts w:hint="eastAsia" w:ascii="宋体" w:hAnsi="宋体" w:eastAsia="宋体" w:cs="宋体"/>
          <w:lang w:eastAsia="zh-CN"/>
        </w:rPr>
        <w:t>日至20</w:t>
      </w:r>
      <w:r>
        <w:rPr>
          <w:rFonts w:hint="eastAsia" w:ascii="宋体" w:hAnsi="宋体" w:eastAsia="宋体" w:cs="宋体"/>
          <w:lang w:val="en-US" w:eastAsia="zh-CN"/>
        </w:rPr>
        <w:t>26</w:t>
      </w:r>
      <w:r>
        <w:rPr>
          <w:rFonts w:hint="eastAsia" w:ascii="宋体" w:hAnsi="宋体" w:eastAsia="宋体" w:cs="宋体"/>
          <w:lang w:eastAsia="zh-CN"/>
        </w:rPr>
        <w:t>年</w:t>
      </w:r>
      <w:r>
        <w:rPr>
          <w:rFonts w:hint="eastAsia" w:ascii="宋体" w:hAnsi="宋体" w:eastAsia="宋体" w:cs="宋体"/>
          <w:u w:val="single"/>
          <w:lang w:val="en-US" w:eastAsia="zh-CN"/>
        </w:rPr>
        <w:t>6</w:t>
      </w:r>
      <w:r>
        <w:rPr>
          <w:rFonts w:hint="eastAsia" w:ascii="宋体" w:hAnsi="宋体" w:eastAsia="宋体" w:cs="宋体"/>
          <w:lang w:eastAsia="zh-CN"/>
        </w:rPr>
        <w:t>月</w:t>
      </w:r>
      <w:r>
        <w:rPr>
          <w:rFonts w:hint="eastAsia" w:ascii="宋体" w:hAnsi="宋体" w:eastAsia="宋体" w:cs="宋体"/>
          <w:u w:val="single"/>
          <w:lang w:val="en-US" w:eastAsia="zh-CN"/>
        </w:rPr>
        <w:t>4</w:t>
      </w:r>
      <w:r>
        <w:rPr>
          <w:rFonts w:hint="eastAsia" w:ascii="宋体" w:hAnsi="宋体" w:eastAsia="宋体" w:cs="宋体"/>
          <w:lang w:eastAsia="zh-CN"/>
        </w:rPr>
        <w:t>日，每天上午00:00至12:00，下午12:00至23:59(北京时间，法定节假日除外)。</w:t>
      </w:r>
    </w:p>
    <w:p w14:paraId="78046A93">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lang w:eastAsia="zh-CN"/>
        </w:rPr>
      </w:pPr>
      <w:r>
        <w:rPr>
          <w:rFonts w:hint="eastAsia" w:ascii="宋体" w:hAnsi="宋体" w:eastAsia="宋体" w:cs="宋体"/>
          <w:lang w:eastAsia="zh-CN"/>
        </w:rPr>
        <w:t>2.地点：</w:t>
      </w:r>
      <w:r>
        <w:rPr>
          <w:rFonts w:hint="eastAsia" w:ascii="宋体" w:hAnsi="宋体" w:eastAsia="宋体" w:cs="宋体"/>
          <w:lang w:val="en-US" w:eastAsia="zh-CN"/>
        </w:rPr>
        <w:t>登封市</w:t>
      </w:r>
      <w:r>
        <w:rPr>
          <w:rFonts w:hint="eastAsia" w:ascii="宋体" w:hAnsi="宋体" w:eastAsia="宋体" w:cs="宋体"/>
          <w:lang w:eastAsia="zh-CN"/>
        </w:rPr>
        <w:t>公共资源交易中心网。</w:t>
      </w:r>
    </w:p>
    <w:p w14:paraId="3E21783C">
      <w:pPr>
        <w:keepNext w:val="0"/>
        <w:keepLines w:val="0"/>
        <w:pageBreakBefore w:val="0"/>
        <w:widowControl/>
        <w:wordWrap/>
        <w:overflowPunct/>
        <w:topLinePunct w:val="0"/>
        <w:autoSpaceDE w:val="0"/>
        <w:autoSpaceDN w:val="0"/>
        <w:bidi w:val="0"/>
        <w:spacing w:line="360" w:lineRule="auto"/>
        <w:ind w:firstLine="420" w:firstLineChars="200"/>
        <w:rPr>
          <w:rFonts w:hint="default" w:ascii="宋体" w:hAnsi="宋体" w:eastAsia="宋体" w:cs="宋体"/>
          <w:lang w:val="en-US" w:eastAsia="zh-CN"/>
        </w:rPr>
      </w:pPr>
      <w:r>
        <w:rPr>
          <w:rFonts w:hint="eastAsia" w:ascii="宋体" w:hAnsi="宋体" w:eastAsia="宋体" w:cs="宋体"/>
          <w:lang w:eastAsia="zh-CN"/>
        </w:rPr>
        <w:t>3.方式：凡有意参加投标者，应首先完成交易主体信息登记及CA数字证书办理</w:t>
      </w:r>
      <w:r>
        <w:rPr>
          <w:rFonts w:hint="eastAsia" w:ascii="宋体" w:hAnsi="宋体" w:eastAsia="宋体" w:cs="宋体"/>
          <w:lang w:val="en-US" w:eastAsia="zh-CN"/>
        </w:rPr>
        <w:t>,</w:t>
      </w:r>
      <w:r>
        <w:rPr>
          <w:rFonts w:hint="eastAsia" w:ascii="宋体" w:hAnsi="宋体" w:eastAsia="宋体" w:cs="宋体"/>
          <w:lang w:eastAsia="zh-CN"/>
        </w:rPr>
        <w:t>凭CA密钥市场主体登录并</w:t>
      </w:r>
      <w:r>
        <w:rPr>
          <w:rFonts w:hint="eastAsia" w:ascii="宋体" w:hAnsi="宋体" w:eastAsia="宋体" w:cs="宋体"/>
          <w:highlight w:val="none"/>
          <w:lang w:eastAsia="zh-CN"/>
        </w:rPr>
        <w:t>在规定时间内按网上提示下载招标文件及资料；具体办理事宜请查询</w:t>
      </w:r>
      <w:r>
        <w:rPr>
          <w:rFonts w:hint="eastAsia" w:ascii="宋体" w:hAnsi="宋体" w:eastAsia="宋体" w:cs="宋体"/>
          <w:highlight w:val="none"/>
          <w:lang w:val="en-US" w:eastAsia="zh-CN"/>
        </w:rPr>
        <w:t>登封市</w:t>
      </w:r>
      <w:r>
        <w:rPr>
          <w:rFonts w:hint="eastAsia" w:ascii="宋体" w:hAnsi="宋体" w:eastAsia="宋体" w:cs="宋体"/>
          <w:highlight w:val="none"/>
          <w:lang w:eastAsia="zh-CN"/>
        </w:rPr>
        <w:t>公共资源交易中心网站。</w:t>
      </w:r>
    </w:p>
    <w:p w14:paraId="3CC991AB">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lang w:eastAsia="zh-CN"/>
        </w:rPr>
      </w:pPr>
      <w:r>
        <w:rPr>
          <w:rFonts w:hint="eastAsia" w:ascii="宋体" w:hAnsi="宋体" w:eastAsia="宋体" w:cs="宋体"/>
          <w:lang w:eastAsia="zh-CN"/>
        </w:rPr>
        <w:t>4.售价：0元。</w:t>
      </w:r>
    </w:p>
    <w:p w14:paraId="1E4E6FBC">
      <w:pPr>
        <w:keepNext w:val="0"/>
        <w:keepLines w:val="0"/>
        <w:pageBreakBefore w:val="0"/>
        <w:widowControl/>
        <w:wordWrap/>
        <w:overflowPunct/>
        <w:topLinePunct w:val="0"/>
        <w:autoSpaceDE w:val="0"/>
        <w:autoSpaceDN w:val="0"/>
        <w:bidi w:val="0"/>
        <w:spacing w:line="360" w:lineRule="auto"/>
        <w:outlineLvl w:val="1"/>
        <w:rPr>
          <w:rFonts w:ascii="宋体" w:hAnsi="宋体" w:eastAsia="宋体" w:cs="宋体"/>
          <w:b/>
          <w:bCs/>
          <w:sz w:val="24"/>
          <w:szCs w:val="24"/>
          <w:lang w:eastAsia="zh-CN"/>
        </w:rPr>
      </w:pPr>
      <w:bookmarkStart w:id="12" w:name="_Toc4260"/>
      <w:bookmarkStart w:id="13" w:name="_Toc1880"/>
      <w:bookmarkStart w:id="14" w:name="_Toc23720"/>
      <w:r>
        <w:rPr>
          <w:rFonts w:hint="eastAsia" w:ascii="宋体" w:hAnsi="宋体" w:eastAsia="宋体" w:cs="宋体"/>
          <w:b/>
          <w:bCs/>
          <w:sz w:val="24"/>
          <w:szCs w:val="24"/>
          <w:lang w:eastAsia="zh-CN"/>
        </w:rPr>
        <w:t>四、投标截止时间及地点</w:t>
      </w:r>
      <w:bookmarkEnd w:id="12"/>
      <w:bookmarkEnd w:id="13"/>
      <w:bookmarkEnd w:id="14"/>
    </w:p>
    <w:p w14:paraId="6249C4C3">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lang w:eastAsia="zh-CN"/>
        </w:rPr>
      </w:pPr>
      <w:r>
        <w:rPr>
          <w:rFonts w:hint="eastAsia" w:ascii="宋体" w:hAnsi="宋体" w:eastAsia="宋体" w:cs="宋体"/>
          <w:lang w:eastAsia="zh-CN"/>
        </w:rPr>
        <w:t>1.时间：20</w:t>
      </w:r>
      <w:r>
        <w:rPr>
          <w:rFonts w:hint="eastAsia" w:ascii="宋体" w:hAnsi="宋体" w:eastAsia="宋体" w:cs="宋体"/>
          <w:lang w:val="en-US" w:eastAsia="zh-CN"/>
        </w:rPr>
        <w:t>26</w:t>
      </w:r>
      <w:r>
        <w:rPr>
          <w:rFonts w:hint="eastAsia" w:ascii="宋体" w:hAnsi="宋体" w:eastAsia="宋体" w:cs="宋体"/>
          <w:lang w:eastAsia="zh-CN"/>
        </w:rPr>
        <w:t>年</w:t>
      </w:r>
      <w:r>
        <w:rPr>
          <w:rFonts w:hint="eastAsia" w:ascii="宋体" w:hAnsi="宋体" w:eastAsia="宋体" w:cs="宋体"/>
          <w:u w:val="single"/>
          <w:lang w:val="en-US" w:eastAsia="zh-CN"/>
        </w:rPr>
        <w:t>6</w:t>
      </w:r>
      <w:r>
        <w:rPr>
          <w:rFonts w:hint="eastAsia" w:ascii="宋体" w:hAnsi="宋体" w:eastAsia="宋体" w:cs="宋体"/>
          <w:lang w:eastAsia="zh-CN"/>
        </w:rPr>
        <w:t>月</w:t>
      </w:r>
      <w:r>
        <w:rPr>
          <w:rFonts w:hint="eastAsia" w:ascii="宋体" w:hAnsi="宋体" w:eastAsia="宋体" w:cs="宋体"/>
          <w:u w:val="single"/>
          <w:lang w:val="en-US" w:eastAsia="zh-CN"/>
        </w:rPr>
        <w:t>23</w:t>
      </w:r>
      <w:r>
        <w:rPr>
          <w:rFonts w:hint="eastAsia" w:ascii="宋体" w:hAnsi="宋体" w:eastAsia="宋体" w:cs="宋体"/>
          <w:lang w:eastAsia="zh-CN"/>
        </w:rPr>
        <w:t>日</w:t>
      </w:r>
      <w:r>
        <w:rPr>
          <w:rFonts w:hint="eastAsia" w:ascii="宋体" w:hAnsi="宋体" w:eastAsia="宋体" w:cs="宋体"/>
          <w:lang w:val="en-US" w:eastAsia="zh-CN"/>
        </w:rPr>
        <w:t>9</w:t>
      </w:r>
      <w:r>
        <w:rPr>
          <w:rFonts w:hint="eastAsia" w:ascii="宋体" w:hAnsi="宋体" w:eastAsia="宋体" w:cs="宋体"/>
          <w:lang w:eastAsia="zh-CN"/>
        </w:rPr>
        <w:t>时</w:t>
      </w:r>
      <w:r>
        <w:rPr>
          <w:rFonts w:hint="eastAsia" w:ascii="宋体" w:hAnsi="宋体" w:eastAsia="宋体" w:cs="宋体"/>
          <w:lang w:val="en-US" w:eastAsia="zh-CN"/>
        </w:rPr>
        <w:t>30</w:t>
      </w:r>
      <w:r>
        <w:rPr>
          <w:rFonts w:hint="eastAsia" w:ascii="宋体" w:hAnsi="宋体" w:eastAsia="宋体" w:cs="宋体"/>
          <w:lang w:eastAsia="zh-CN"/>
        </w:rPr>
        <w:t>分(北京时间)。</w:t>
      </w:r>
    </w:p>
    <w:p w14:paraId="55BB3612">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lang w:eastAsia="zh-CN"/>
        </w:rPr>
      </w:pPr>
      <w:r>
        <w:rPr>
          <w:rFonts w:hint="eastAsia" w:ascii="宋体" w:hAnsi="宋体" w:eastAsia="宋体" w:cs="宋体"/>
        </w:rPr>
        <w:t>2.地点：</w:t>
      </w:r>
      <w:r>
        <w:rPr>
          <w:rFonts w:hint="eastAsia" w:ascii="宋体" w:hAnsi="宋体" w:eastAsia="宋体" w:cs="宋体"/>
          <w:lang w:val="en-US" w:eastAsia="zh-CN"/>
        </w:rPr>
        <w:t>登封市</w:t>
      </w:r>
      <w:r>
        <w:rPr>
          <w:rFonts w:hint="eastAsia" w:ascii="宋体" w:hAnsi="宋体" w:eastAsia="宋体" w:cs="宋体"/>
          <w:lang w:eastAsia="zh-CN"/>
        </w:rPr>
        <w:t>公共资源交易</w:t>
      </w:r>
      <w:r>
        <w:rPr>
          <w:rFonts w:hint="eastAsia" w:ascii="宋体" w:hAnsi="宋体" w:eastAsia="宋体" w:cs="宋体"/>
          <w:lang w:val="en-US" w:eastAsia="zh-CN"/>
        </w:rPr>
        <w:t>平台</w:t>
      </w:r>
      <w:r>
        <w:rPr>
          <w:rFonts w:hint="eastAsia" w:ascii="宋体" w:hAnsi="宋体" w:eastAsia="宋体" w:cs="宋体"/>
        </w:rPr>
        <w:t>。</w:t>
      </w:r>
    </w:p>
    <w:p w14:paraId="045EE0AB">
      <w:pPr>
        <w:keepNext w:val="0"/>
        <w:keepLines w:val="0"/>
        <w:pageBreakBefore w:val="0"/>
        <w:widowControl/>
        <w:wordWrap/>
        <w:overflowPunct/>
        <w:topLinePunct w:val="0"/>
        <w:autoSpaceDE w:val="0"/>
        <w:autoSpaceDN w:val="0"/>
        <w:bidi w:val="0"/>
        <w:spacing w:line="360" w:lineRule="auto"/>
        <w:outlineLvl w:val="1"/>
        <w:rPr>
          <w:rFonts w:ascii="宋体" w:hAnsi="宋体" w:eastAsia="宋体" w:cs="宋体"/>
          <w:b/>
          <w:bCs/>
          <w:sz w:val="24"/>
          <w:szCs w:val="24"/>
          <w:lang w:eastAsia="zh-CN"/>
        </w:rPr>
      </w:pPr>
      <w:bookmarkStart w:id="15" w:name="_Toc28205"/>
      <w:bookmarkStart w:id="16" w:name="_Toc14615"/>
      <w:bookmarkStart w:id="17" w:name="_Toc18200"/>
      <w:r>
        <w:rPr>
          <w:rFonts w:hint="eastAsia" w:ascii="宋体" w:hAnsi="宋体" w:eastAsia="宋体" w:cs="宋体"/>
          <w:b/>
          <w:bCs/>
          <w:sz w:val="24"/>
          <w:szCs w:val="24"/>
          <w:lang w:eastAsia="zh-CN"/>
        </w:rPr>
        <w:t>五、开标时间及地点</w:t>
      </w:r>
      <w:bookmarkEnd w:id="15"/>
      <w:bookmarkEnd w:id="16"/>
      <w:bookmarkEnd w:id="17"/>
    </w:p>
    <w:p w14:paraId="1ACF8601">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lang w:eastAsia="zh-CN"/>
        </w:rPr>
      </w:pPr>
      <w:r>
        <w:rPr>
          <w:rFonts w:hint="eastAsia" w:ascii="宋体" w:hAnsi="宋体" w:eastAsia="宋体" w:cs="宋体"/>
          <w:lang w:eastAsia="zh-CN"/>
        </w:rPr>
        <w:t>1.时间：20</w:t>
      </w:r>
      <w:r>
        <w:rPr>
          <w:rFonts w:hint="eastAsia" w:ascii="宋体" w:hAnsi="宋体" w:eastAsia="宋体" w:cs="宋体"/>
          <w:lang w:val="en-US" w:eastAsia="zh-CN"/>
        </w:rPr>
        <w:t>26</w:t>
      </w:r>
      <w:r>
        <w:rPr>
          <w:rFonts w:hint="eastAsia" w:ascii="宋体" w:hAnsi="宋体" w:eastAsia="宋体" w:cs="宋体"/>
          <w:lang w:eastAsia="zh-CN"/>
        </w:rPr>
        <w:t>年</w:t>
      </w:r>
      <w:r>
        <w:rPr>
          <w:rFonts w:hint="eastAsia" w:ascii="宋体" w:hAnsi="宋体" w:eastAsia="宋体" w:cs="宋体"/>
          <w:u w:val="single"/>
          <w:lang w:val="en-US" w:eastAsia="zh-CN"/>
        </w:rPr>
        <w:t>6</w:t>
      </w:r>
      <w:r>
        <w:rPr>
          <w:rFonts w:hint="eastAsia" w:ascii="宋体" w:hAnsi="宋体" w:eastAsia="宋体" w:cs="宋体"/>
          <w:lang w:eastAsia="zh-CN"/>
        </w:rPr>
        <w:t>月</w:t>
      </w:r>
      <w:r>
        <w:rPr>
          <w:rFonts w:hint="eastAsia" w:ascii="宋体" w:hAnsi="宋体" w:eastAsia="宋体" w:cs="宋体"/>
          <w:u w:val="single"/>
          <w:lang w:val="en-US" w:eastAsia="zh-CN"/>
        </w:rPr>
        <w:t>23</w:t>
      </w:r>
      <w:r>
        <w:rPr>
          <w:rFonts w:hint="eastAsia" w:ascii="宋体" w:hAnsi="宋体" w:eastAsia="宋体" w:cs="宋体"/>
          <w:lang w:eastAsia="zh-CN"/>
        </w:rPr>
        <w:t>日</w:t>
      </w:r>
      <w:r>
        <w:rPr>
          <w:rFonts w:hint="eastAsia" w:ascii="宋体" w:hAnsi="宋体" w:eastAsia="宋体" w:cs="宋体"/>
          <w:lang w:val="en-US" w:eastAsia="zh-CN"/>
        </w:rPr>
        <w:t>9</w:t>
      </w:r>
      <w:r>
        <w:rPr>
          <w:rFonts w:hint="eastAsia" w:ascii="宋体" w:hAnsi="宋体" w:eastAsia="宋体" w:cs="宋体"/>
          <w:lang w:eastAsia="zh-CN"/>
        </w:rPr>
        <w:t>时</w:t>
      </w:r>
      <w:r>
        <w:rPr>
          <w:rFonts w:hint="eastAsia" w:ascii="宋体" w:hAnsi="宋体" w:eastAsia="宋体" w:cs="宋体"/>
          <w:lang w:val="en-US" w:eastAsia="zh-CN"/>
        </w:rPr>
        <w:t>30</w:t>
      </w:r>
      <w:r>
        <w:rPr>
          <w:rFonts w:hint="eastAsia" w:ascii="宋体" w:hAnsi="宋体" w:eastAsia="宋体" w:cs="宋体"/>
          <w:lang w:eastAsia="zh-CN"/>
        </w:rPr>
        <w:t>分(北京时间)。</w:t>
      </w:r>
    </w:p>
    <w:p w14:paraId="3B06B520">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lang w:eastAsia="zh-CN"/>
        </w:rPr>
      </w:pPr>
      <w:r>
        <w:rPr>
          <w:rFonts w:hint="eastAsia" w:ascii="宋体" w:hAnsi="宋体" w:eastAsia="宋体" w:cs="宋体"/>
          <w:lang w:eastAsia="zh-CN"/>
        </w:rPr>
        <w:t>2.地点：</w:t>
      </w:r>
      <w:r>
        <w:rPr>
          <w:rFonts w:hint="eastAsia" w:ascii="宋体" w:hAnsi="宋体" w:eastAsia="宋体" w:cs="宋体"/>
          <w:lang w:val="en-US" w:eastAsia="zh-CN"/>
        </w:rPr>
        <w:t>登封市</w:t>
      </w:r>
      <w:r>
        <w:rPr>
          <w:rFonts w:hint="eastAsia" w:ascii="宋体" w:hAnsi="宋体" w:eastAsia="宋体" w:cs="宋体"/>
          <w:lang w:eastAsia="zh-CN"/>
        </w:rPr>
        <w:t>公共资源交易中心“不见面开标大厅”。</w:t>
      </w:r>
    </w:p>
    <w:p w14:paraId="29C12857">
      <w:pPr>
        <w:keepNext w:val="0"/>
        <w:keepLines w:val="0"/>
        <w:pageBreakBefore w:val="0"/>
        <w:widowControl/>
        <w:wordWrap/>
        <w:overflowPunct/>
        <w:topLinePunct w:val="0"/>
        <w:autoSpaceDE w:val="0"/>
        <w:autoSpaceDN w:val="0"/>
        <w:bidi w:val="0"/>
        <w:spacing w:line="360" w:lineRule="auto"/>
        <w:outlineLvl w:val="1"/>
        <w:rPr>
          <w:rFonts w:ascii="宋体" w:hAnsi="宋体" w:eastAsia="宋体" w:cs="宋体"/>
          <w:b/>
          <w:bCs/>
          <w:sz w:val="24"/>
          <w:szCs w:val="24"/>
          <w:lang w:eastAsia="zh-CN"/>
        </w:rPr>
      </w:pPr>
      <w:bookmarkStart w:id="18" w:name="_Toc23229"/>
      <w:bookmarkStart w:id="19" w:name="_Toc3566"/>
      <w:bookmarkStart w:id="20" w:name="_Toc1387"/>
      <w:r>
        <w:rPr>
          <w:rFonts w:hint="eastAsia" w:ascii="宋体" w:hAnsi="宋体" w:eastAsia="宋体" w:cs="宋体"/>
          <w:b/>
          <w:bCs/>
          <w:sz w:val="24"/>
          <w:szCs w:val="24"/>
          <w:lang w:eastAsia="zh-CN"/>
        </w:rPr>
        <w:t>六、发布公告的媒介及招标公告期限</w:t>
      </w:r>
      <w:bookmarkEnd w:id="18"/>
      <w:bookmarkEnd w:id="19"/>
      <w:bookmarkEnd w:id="20"/>
    </w:p>
    <w:p w14:paraId="5973A1E8">
      <w:pPr>
        <w:keepNext w:val="0"/>
        <w:keepLines w:val="0"/>
        <w:pageBreakBefore w:val="0"/>
        <w:widowControl/>
        <w:wordWrap/>
        <w:overflowPunct/>
        <w:topLinePunct w:val="0"/>
        <w:autoSpaceDE w:val="0"/>
        <w:autoSpaceDN w:val="0"/>
        <w:bidi w:val="0"/>
        <w:spacing w:line="360" w:lineRule="auto"/>
        <w:ind w:firstLine="420" w:firstLineChars="200"/>
        <w:rPr>
          <w:rFonts w:ascii="宋体" w:hAnsi="宋体" w:eastAsia="宋体" w:cs="宋体"/>
          <w:lang w:eastAsia="zh-CN"/>
        </w:rPr>
      </w:pPr>
      <w:r>
        <w:rPr>
          <w:rFonts w:hint="eastAsia" w:ascii="宋体" w:hAnsi="宋体" w:eastAsia="宋体" w:cs="宋体"/>
          <w:lang w:eastAsia="zh-CN"/>
        </w:rPr>
        <w:t>本次招标公告在《</w:t>
      </w:r>
      <w:r>
        <w:rPr>
          <w:rFonts w:hint="eastAsia" w:ascii="宋体" w:hAnsi="宋体" w:eastAsia="宋体" w:cs="宋体"/>
          <w:lang w:val="en-US" w:eastAsia="zh-CN"/>
        </w:rPr>
        <w:t>河南省</w:t>
      </w:r>
      <w:r>
        <w:rPr>
          <w:rFonts w:hint="eastAsia" w:ascii="宋体" w:hAnsi="宋体" w:eastAsia="宋体" w:cs="宋体"/>
          <w:lang w:eastAsia="zh-CN"/>
        </w:rPr>
        <w:t>政府采购网》《登封市政府采购网》《</w:t>
      </w:r>
      <w:r>
        <w:rPr>
          <w:rFonts w:hint="eastAsia" w:ascii="宋体" w:hAnsi="宋体" w:eastAsia="宋体" w:cs="宋体"/>
          <w:lang w:val="en-US" w:eastAsia="zh-CN"/>
        </w:rPr>
        <w:t>全国公共资源交易平台（河南省.登封市）</w:t>
      </w:r>
      <w:r>
        <w:rPr>
          <w:rFonts w:hint="eastAsia" w:ascii="宋体" w:hAnsi="宋体" w:eastAsia="宋体" w:cs="宋体"/>
          <w:lang w:eastAsia="zh-CN"/>
        </w:rPr>
        <w:t>》《</w:t>
      </w:r>
      <w:r>
        <w:rPr>
          <w:rFonts w:hint="eastAsia" w:ascii="宋体" w:hAnsi="宋体" w:eastAsia="宋体" w:cs="宋体"/>
          <w:lang w:val="en-US" w:eastAsia="zh-CN"/>
        </w:rPr>
        <w:t>中国</w:t>
      </w:r>
      <w:r>
        <w:rPr>
          <w:rFonts w:hint="eastAsia" w:ascii="宋体" w:hAnsi="宋体" w:eastAsia="宋体" w:cs="宋体"/>
          <w:lang w:eastAsia="zh-CN"/>
        </w:rPr>
        <w:t>招标投标公共服务平台》上发布，招标公告期限为五个工作日。</w:t>
      </w:r>
    </w:p>
    <w:p w14:paraId="46861069">
      <w:pPr>
        <w:keepNext w:val="0"/>
        <w:keepLines w:val="0"/>
        <w:pageBreakBefore w:val="0"/>
        <w:widowControl/>
        <w:wordWrap/>
        <w:overflowPunct/>
        <w:topLinePunct w:val="0"/>
        <w:autoSpaceDE w:val="0"/>
        <w:autoSpaceDN w:val="0"/>
        <w:bidi w:val="0"/>
        <w:spacing w:line="360" w:lineRule="auto"/>
        <w:outlineLvl w:val="1"/>
        <w:rPr>
          <w:rFonts w:ascii="宋体" w:hAnsi="宋体" w:eastAsia="宋体" w:cs="宋体"/>
          <w:b/>
          <w:bCs/>
          <w:sz w:val="24"/>
          <w:szCs w:val="24"/>
          <w:lang w:eastAsia="zh-CN"/>
        </w:rPr>
      </w:pPr>
      <w:bookmarkStart w:id="21" w:name="_Toc12387"/>
      <w:bookmarkStart w:id="22" w:name="_Toc4206"/>
      <w:bookmarkStart w:id="23" w:name="_Toc25159"/>
      <w:r>
        <w:rPr>
          <w:rFonts w:hint="eastAsia" w:ascii="宋体" w:hAnsi="宋体" w:eastAsia="宋体" w:cs="宋体"/>
          <w:b/>
          <w:bCs/>
          <w:sz w:val="24"/>
          <w:szCs w:val="24"/>
          <w:lang w:eastAsia="zh-CN"/>
        </w:rPr>
        <w:t>七、其他补充事宜</w:t>
      </w:r>
      <w:bookmarkEnd w:id="21"/>
      <w:bookmarkEnd w:id="22"/>
      <w:bookmarkEnd w:id="23"/>
    </w:p>
    <w:p w14:paraId="0423D12E">
      <w:pPr>
        <w:keepNext w:val="0"/>
        <w:keepLines w:val="0"/>
        <w:pageBreakBefore w:val="0"/>
        <w:widowControl/>
        <w:wordWrap/>
        <w:overflowPunct/>
        <w:topLinePunct w:val="0"/>
        <w:autoSpaceDE w:val="0"/>
        <w:autoSpaceDN w:val="0"/>
        <w:bidi w:val="0"/>
        <w:spacing w:line="360" w:lineRule="auto"/>
        <w:ind w:firstLine="460" w:firstLineChars="200"/>
        <w:rPr>
          <w:rFonts w:ascii="宋体" w:hAnsi="宋体" w:eastAsia="宋体" w:cs="宋体"/>
          <w:lang w:eastAsia="zh-CN"/>
        </w:rPr>
      </w:pPr>
      <w:r>
        <w:rPr>
          <w:rFonts w:hint="eastAsia" w:ascii="宋体" w:hAnsi="宋体" w:eastAsia="宋体" w:cs="宋体"/>
          <w:spacing w:val="10"/>
          <w:lang w:eastAsia="zh-CN"/>
        </w:rPr>
        <w:t>本项目需要落实的政府采购政策：</w:t>
      </w:r>
    </w:p>
    <w:p w14:paraId="640284B4">
      <w:pPr>
        <w:keepNext w:val="0"/>
        <w:keepLines w:val="0"/>
        <w:pageBreakBefore w:val="0"/>
        <w:widowControl/>
        <w:wordWrap/>
        <w:overflowPunct/>
        <w:topLinePunct w:val="0"/>
        <w:autoSpaceDE w:val="0"/>
        <w:autoSpaceDN w:val="0"/>
        <w:bidi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1、执行《政府采购促进中小企业发展管理办法》（财库〔2020〕46号）；</w:t>
      </w:r>
    </w:p>
    <w:p w14:paraId="3FD315A2">
      <w:pPr>
        <w:keepNext w:val="0"/>
        <w:keepLines w:val="0"/>
        <w:pageBreakBefore w:val="0"/>
        <w:widowControl/>
        <w:wordWrap/>
        <w:overflowPunct/>
        <w:topLinePunct w:val="0"/>
        <w:autoSpaceDE w:val="0"/>
        <w:autoSpaceDN w:val="0"/>
        <w:bidi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2、执行《关于进一步加大政府采购支持中小企业力度的通知》（财库〔2022〕19号）；</w:t>
      </w:r>
    </w:p>
    <w:p w14:paraId="0724813A">
      <w:pPr>
        <w:keepNext w:val="0"/>
        <w:keepLines w:val="0"/>
        <w:pageBreakBefore w:val="0"/>
        <w:widowControl/>
        <w:wordWrap/>
        <w:overflowPunct/>
        <w:topLinePunct w:val="0"/>
        <w:autoSpaceDE w:val="0"/>
        <w:autoSpaceDN w:val="0"/>
        <w:bidi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3、执行《河南省财政厅关于进一步做好政府采购支持中小企业发展有关事项的通知》（豫财购〔2022〕5号）；</w:t>
      </w:r>
    </w:p>
    <w:p w14:paraId="405DD012">
      <w:pPr>
        <w:keepNext w:val="0"/>
        <w:keepLines w:val="0"/>
        <w:pageBreakBefore w:val="0"/>
        <w:widowControl/>
        <w:wordWrap/>
        <w:overflowPunct/>
        <w:topLinePunct w:val="0"/>
        <w:autoSpaceDE w:val="0"/>
        <w:autoSpaceDN w:val="0"/>
        <w:bidi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4、执行《财政部 司法部关于政府采购支持监狱企业发展有关问题的通知》（财库〔2014〕68号）；</w:t>
      </w:r>
    </w:p>
    <w:p w14:paraId="5873C80A">
      <w:pPr>
        <w:keepNext w:val="0"/>
        <w:keepLines w:val="0"/>
        <w:pageBreakBefore w:val="0"/>
        <w:widowControl/>
        <w:wordWrap/>
        <w:overflowPunct/>
        <w:topLinePunct w:val="0"/>
        <w:autoSpaceDE w:val="0"/>
        <w:autoSpaceDN w:val="0"/>
        <w:bidi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5、执行《财政部 民政部 中国残疾人联合会关于促进残疾人就业政府采购政策的通知》（财库〔2017〕141号）；</w:t>
      </w:r>
    </w:p>
    <w:p w14:paraId="40571F71">
      <w:pPr>
        <w:keepNext w:val="0"/>
        <w:keepLines w:val="0"/>
        <w:pageBreakBefore w:val="0"/>
        <w:widowControl/>
        <w:wordWrap/>
        <w:overflowPunct/>
        <w:topLinePunct w:val="0"/>
        <w:autoSpaceDE w:val="0"/>
        <w:autoSpaceDN w:val="0"/>
        <w:bidi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6、执行《关于调整优化节能产品、环境标志产品政府采购执行机制的通知》（财库〔2019〕9号）；</w:t>
      </w:r>
    </w:p>
    <w:p w14:paraId="49803965">
      <w:pPr>
        <w:keepNext w:val="0"/>
        <w:keepLines w:val="0"/>
        <w:pageBreakBefore w:val="0"/>
        <w:widowControl/>
        <w:wordWrap/>
        <w:overflowPunct/>
        <w:topLinePunct w:val="0"/>
        <w:autoSpaceDE w:val="0"/>
        <w:autoSpaceDN w:val="0"/>
        <w:bidi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7、执行《关于印发节能产品政府采购品目清单的通知》（财库〔2019〕19号）；</w:t>
      </w:r>
    </w:p>
    <w:p w14:paraId="27FD6D2E">
      <w:pPr>
        <w:keepNext w:val="0"/>
        <w:keepLines w:val="0"/>
        <w:pageBreakBefore w:val="0"/>
        <w:widowControl/>
        <w:wordWrap/>
        <w:overflowPunct/>
        <w:topLinePunct w:val="0"/>
        <w:autoSpaceDE w:val="0"/>
        <w:autoSpaceDN w:val="0"/>
        <w:bidi w:val="0"/>
        <w:spacing w:line="360" w:lineRule="auto"/>
        <w:ind w:firstLine="420" w:firstLineChars="200"/>
        <w:rPr>
          <w:rFonts w:hint="eastAsia" w:ascii="宋体" w:hAnsi="宋体" w:eastAsia="宋体" w:cs="宋体"/>
          <w:lang w:eastAsia="zh-CN"/>
        </w:rPr>
      </w:pPr>
      <w:r>
        <w:rPr>
          <w:rFonts w:hint="eastAsia" w:ascii="宋体" w:hAnsi="宋体" w:eastAsia="宋体" w:cs="宋体"/>
          <w:lang w:eastAsia="zh-CN"/>
        </w:rPr>
        <w:t>8、执行《关于印发环境标志产品政府采购品目清单的通知》（财库〔2019〕18号）；</w:t>
      </w:r>
    </w:p>
    <w:p w14:paraId="12E52F6E">
      <w:pPr>
        <w:keepNext w:val="0"/>
        <w:keepLines w:val="0"/>
        <w:pageBreakBefore w:val="0"/>
        <w:widowControl/>
        <w:wordWrap/>
        <w:overflowPunct/>
        <w:topLinePunct w:val="0"/>
        <w:autoSpaceDE w:val="0"/>
        <w:autoSpaceDN w:val="0"/>
        <w:bidi w:val="0"/>
        <w:spacing w:line="360" w:lineRule="auto"/>
        <w:ind w:firstLine="420" w:firstLineChars="200"/>
        <w:rPr>
          <w:rFonts w:hint="eastAsia" w:ascii="宋体" w:hAnsi="宋体" w:eastAsia="宋体" w:cs="宋体"/>
          <w:b/>
          <w:bCs/>
          <w:sz w:val="24"/>
          <w:szCs w:val="24"/>
          <w:lang w:eastAsia="zh-CN"/>
        </w:rPr>
      </w:pPr>
      <w:r>
        <w:rPr>
          <w:rFonts w:hint="eastAsia" w:ascii="宋体" w:hAnsi="宋体" w:eastAsia="宋体" w:cs="宋体"/>
          <w:lang w:eastAsia="zh-CN"/>
        </w:rPr>
        <w:t>9、执行《关于贯彻落实国务院办公厅关于在政府采购中实施本国产品标准及相关政策的通知的意见》（财库〔2025〕30号）。</w:t>
      </w:r>
      <w:bookmarkStart w:id="24" w:name="_Toc8544"/>
    </w:p>
    <w:p w14:paraId="48AB285E">
      <w:pPr>
        <w:keepNext w:val="0"/>
        <w:keepLines w:val="0"/>
        <w:pageBreakBefore w:val="0"/>
        <w:widowControl/>
        <w:wordWrap/>
        <w:overflowPunct/>
        <w:topLinePunct w:val="0"/>
        <w:autoSpaceDE w:val="0"/>
        <w:autoSpaceDN w:val="0"/>
        <w:bidi w:val="0"/>
        <w:spacing w:line="360" w:lineRule="auto"/>
        <w:outlineLvl w:val="1"/>
        <w:rPr>
          <w:rFonts w:ascii="宋体" w:hAnsi="宋体" w:eastAsia="宋体" w:cs="宋体"/>
          <w:b/>
          <w:bCs/>
          <w:sz w:val="24"/>
          <w:szCs w:val="24"/>
          <w:lang w:eastAsia="zh-CN"/>
        </w:rPr>
      </w:pPr>
      <w:bookmarkStart w:id="25" w:name="_Toc8547"/>
      <w:bookmarkStart w:id="26" w:name="_Toc29776"/>
      <w:r>
        <w:rPr>
          <w:rFonts w:hint="eastAsia" w:ascii="宋体" w:hAnsi="宋体" w:eastAsia="宋体" w:cs="宋体"/>
          <w:b/>
          <w:bCs/>
          <w:sz w:val="24"/>
          <w:szCs w:val="24"/>
          <w:lang w:eastAsia="zh-CN"/>
        </w:rPr>
        <w:t>八、凡对本次采购提出询问，请按照以下方式联系</w:t>
      </w:r>
      <w:bookmarkEnd w:id="24"/>
      <w:bookmarkEnd w:id="25"/>
      <w:bookmarkEnd w:id="26"/>
    </w:p>
    <w:p w14:paraId="44305DBF">
      <w:pPr>
        <w:keepNext w:val="0"/>
        <w:keepLines w:val="0"/>
        <w:pageBreakBefore w:val="0"/>
        <w:widowControl/>
        <w:kinsoku/>
        <w:wordWrap/>
        <w:overflowPunct/>
        <w:topLinePunct w:val="0"/>
        <w:autoSpaceDE w:val="0"/>
        <w:autoSpaceDN w:val="0"/>
        <w:bidi w:val="0"/>
        <w:adjustRightInd/>
        <w:snapToGrid/>
        <w:spacing w:line="360" w:lineRule="auto"/>
        <w:ind w:firstLine="420" w:firstLineChars="200"/>
        <w:textAlignment w:val="auto"/>
        <w:rPr>
          <w:rFonts w:ascii="宋体" w:hAnsi="宋体" w:eastAsia="宋体" w:cs="宋体"/>
          <w:lang w:eastAsia="zh-CN" w:bidi="zh-CN"/>
        </w:rPr>
      </w:pPr>
      <w:r>
        <w:rPr>
          <w:rFonts w:hint="eastAsia" w:ascii="宋体" w:hAnsi="宋体" w:eastAsia="宋体" w:cs="宋体"/>
          <w:lang w:eastAsia="zh-CN" w:bidi="zh-CN"/>
        </w:rPr>
        <w:t>1.采购人信息</w:t>
      </w:r>
    </w:p>
    <w:p w14:paraId="418F20D8">
      <w:pPr>
        <w:keepNext w:val="0"/>
        <w:keepLines w:val="0"/>
        <w:pageBreakBefore w:val="0"/>
        <w:widowControl/>
        <w:tabs>
          <w:tab w:val="left" w:pos="2136"/>
        </w:tabs>
        <w:kinsoku/>
        <w:wordWrap/>
        <w:overflowPunct/>
        <w:topLinePunct w:val="0"/>
        <w:autoSpaceDE w:val="0"/>
        <w:autoSpaceDN w:val="0"/>
        <w:bidi w:val="0"/>
        <w:adjustRightInd/>
        <w:snapToGrid/>
        <w:spacing w:line="360" w:lineRule="auto"/>
        <w:ind w:firstLine="420" w:firstLineChars="200"/>
        <w:textAlignment w:val="auto"/>
        <w:rPr>
          <w:rFonts w:ascii="宋体" w:hAnsi="宋体" w:eastAsia="宋体" w:cs="宋体"/>
          <w:lang w:eastAsia="zh-CN" w:bidi="zh-CN"/>
        </w:rPr>
      </w:pPr>
      <w:r>
        <w:rPr>
          <w:rFonts w:hint="eastAsia" w:ascii="宋体" w:hAnsi="宋体" w:eastAsia="宋体" w:cs="宋体"/>
          <w:lang w:eastAsia="zh-CN" w:bidi="zh-CN"/>
        </w:rPr>
        <w:t>采购人：登封市疾病预防控制中心</w:t>
      </w:r>
      <w:r>
        <w:rPr>
          <w:rFonts w:hint="eastAsia" w:ascii="宋体" w:hAnsi="宋体" w:eastAsia="宋体" w:cs="宋体"/>
          <w:lang w:val="en-US" w:eastAsia="zh-CN" w:bidi="zh-CN"/>
        </w:rPr>
        <w:t xml:space="preserve"> </w:t>
      </w:r>
    </w:p>
    <w:p w14:paraId="09915A07">
      <w:pPr>
        <w:keepNext w:val="0"/>
        <w:keepLines w:val="0"/>
        <w:pageBreakBefore w:val="0"/>
        <w:widowControl/>
        <w:tabs>
          <w:tab w:val="left" w:pos="2136"/>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lang w:val="en-US" w:eastAsia="zh-CN" w:bidi="zh-CN"/>
        </w:rPr>
      </w:pPr>
      <w:r>
        <w:rPr>
          <w:rFonts w:hint="eastAsia" w:ascii="宋体" w:hAnsi="宋体" w:eastAsia="宋体" w:cs="宋体"/>
          <w:lang w:eastAsia="zh-CN" w:bidi="zh-CN"/>
        </w:rPr>
        <w:t>地址：河南省登封市颍河路1269号</w:t>
      </w:r>
      <w:r>
        <w:rPr>
          <w:rFonts w:hint="eastAsia" w:ascii="宋体" w:hAnsi="宋体" w:eastAsia="宋体" w:cs="宋体"/>
          <w:lang w:val="en-US" w:eastAsia="zh-CN" w:bidi="zh-CN"/>
        </w:rPr>
        <w:t xml:space="preserve"> </w:t>
      </w:r>
    </w:p>
    <w:p w14:paraId="175A64CA">
      <w:pPr>
        <w:keepNext w:val="0"/>
        <w:keepLines w:val="0"/>
        <w:pageBreakBefore w:val="0"/>
        <w:widowControl/>
        <w:tabs>
          <w:tab w:val="left" w:pos="2136"/>
        </w:tabs>
        <w:kinsoku/>
        <w:wordWrap/>
        <w:overflowPunct/>
        <w:topLinePunct w:val="0"/>
        <w:autoSpaceDE w:val="0"/>
        <w:autoSpaceDN w:val="0"/>
        <w:bidi w:val="0"/>
        <w:adjustRightInd/>
        <w:snapToGrid/>
        <w:spacing w:line="360" w:lineRule="auto"/>
        <w:ind w:firstLine="420" w:firstLineChars="200"/>
        <w:textAlignment w:val="auto"/>
        <w:rPr>
          <w:rFonts w:ascii="宋体" w:hAnsi="宋体" w:eastAsia="宋体" w:cs="宋体"/>
          <w:lang w:eastAsia="zh-CN" w:bidi="zh-CN"/>
        </w:rPr>
      </w:pPr>
      <w:r>
        <w:rPr>
          <w:rFonts w:hint="eastAsia" w:ascii="宋体" w:hAnsi="宋体" w:eastAsia="宋体" w:cs="宋体"/>
          <w:lang w:eastAsia="zh-CN" w:bidi="zh-CN"/>
        </w:rPr>
        <w:t>联系人：</w:t>
      </w:r>
      <w:r>
        <w:rPr>
          <w:rFonts w:hint="eastAsia" w:ascii="宋体" w:hAnsi="宋体" w:eastAsia="宋体" w:cs="宋体"/>
          <w:lang w:val="en-US" w:eastAsia="zh-CN" w:bidi="zh-CN"/>
        </w:rPr>
        <w:t xml:space="preserve">郝瑶琪 </w:t>
      </w:r>
    </w:p>
    <w:p w14:paraId="27845AC2">
      <w:pPr>
        <w:keepNext w:val="0"/>
        <w:keepLines w:val="0"/>
        <w:pageBreakBefore w:val="0"/>
        <w:widowControl/>
        <w:tabs>
          <w:tab w:val="left" w:pos="2136"/>
        </w:tabs>
        <w:kinsoku/>
        <w:wordWrap/>
        <w:overflowPunct/>
        <w:topLinePunct w:val="0"/>
        <w:autoSpaceDE w:val="0"/>
        <w:autoSpaceDN w:val="0"/>
        <w:bidi w:val="0"/>
        <w:adjustRightInd/>
        <w:snapToGrid/>
        <w:spacing w:line="360" w:lineRule="auto"/>
        <w:ind w:firstLine="420" w:firstLineChars="200"/>
        <w:textAlignment w:val="auto"/>
        <w:rPr>
          <w:rFonts w:ascii="宋体" w:hAnsi="宋体" w:eastAsia="宋体" w:cs="宋体"/>
          <w:lang w:eastAsia="zh-CN" w:bidi="zh-CN"/>
        </w:rPr>
      </w:pPr>
      <w:r>
        <w:rPr>
          <w:rFonts w:hint="eastAsia" w:ascii="宋体" w:hAnsi="宋体" w:eastAsia="宋体" w:cs="宋体"/>
          <w:lang w:eastAsia="zh-CN" w:bidi="zh-CN"/>
        </w:rPr>
        <w:t>联系电话：18637123680</w:t>
      </w:r>
      <w:r>
        <w:rPr>
          <w:rFonts w:hint="eastAsia" w:ascii="宋体" w:hAnsi="宋体" w:eastAsia="宋体" w:cs="宋体"/>
          <w:lang w:val="en-US" w:eastAsia="zh-CN" w:bidi="zh-CN"/>
        </w:rPr>
        <w:t xml:space="preserve"> </w:t>
      </w:r>
    </w:p>
    <w:p w14:paraId="4383E1F3">
      <w:pPr>
        <w:keepNext w:val="0"/>
        <w:keepLines w:val="0"/>
        <w:pageBreakBefore w:val="0"/>
        <w:widowControl/>
        <w:tabs>
          <w:tab w:val="left" w:pos="2136"/>
        </w:tabs>
        <w:kinsoku/>
        <w:wordWrap/>
        <w:overflowPunct/>
        <w:topLinePunct w:val="0"/>
        <w:autoSpaceDE w:val="0"/>
        <w:autoSpaceDN w:val="0"/>
        <w:bidi w:val="0"/>
        <w:adjustRightInd/>
        <w:snapToGrid/>
        <w:spacing w:line="360" w:lineRule="auto"/>
        <w:ind w:firstLine="420" w:firstLineChars="200"/>
        <w:textAlignment w:val="auto"/>
        <w:rPr>
          <w:rFonts w:ascii="宋体" w:hAnsi="宋体" w:eastAsia="宋体" w:cs="宋体"/>
          <w:lang w:eastAsia="zh-CN" w:bidi="zh-CN"/>
        </w:rPr>
      </w:pPr>
      <w:r>
        <w:rPr>
          <w:rFonts w:hint="eastAsia" w:ascii="宋体" w:hAnsi="宋体" w:eastAsia="宋体" w:cs="宋体"/>
          <w:lang w:eastAsia="zh-CN" w:bidi="zh-CN"/>
        </w:rPr>
        <w:t>2.代理机构信息</w:t>
      </w:r>
    </w:p>
    <w:p w14:paraId="7241110A">
      <w:pPr>
        <w:keepNext w:val="0"/>
        <w:keepLines w:val="0"/>
        <w:pageBreakBefore w:val="0"/>
        <w:widowControl/>
        <w:tabs>
          <w:tab w:val="left" w:pos="2136"/>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lang w:val="en-US" w:eastAsia="zh-CN" w:bidi="zh-CN"/>
        </w:rPr>
      </w:pPr>
      <w:r>
        <w:rPr>
          <w:rFonts w:hint="eastAsia" w:ascii="宋体" w:hAnsi="宋体" w:eastAsia="宋体" w:cs="宋体"/>
          <w:lang w:eastAsia="zh-CN" w:bidi="zh-CN"/>
        </w:rPr>
        <w:t>采购代理机构：</w:t>
      </w:r>
      <w:r>
        <w:rPr>
          <w:rFonts w:hint="eastAsia" w:ascii="宋体" w:hAnsi="宋体" w:eastAsia="宋体" w:cs="宋体"/>
          <w:lang w:val="en-US" w:eastAsia="zh-CN" w:bidi="zh-CN"/>
        </w:rPr>
        <w:t>河南晖泽工程咨询有限公司</w:t>
      </w:r>
    </w:p>
    <w:p w14:paraId="07C47C58">
      <w:pPr>
        <w:keepNext w:val="0"/>
        <w:keepLines w:val="0"/>
        <w:pageBreakBefore w:val="0"/>
        <w:widowControl/>
        <w:tabs>
          <w:tab w:val="left" w:pos="2136"/>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lang w:val="en-US" w:eastAsia="zh-CN" w:bidi="zh-CN"/>
        </w:rPr>
      </w:pPr>
      <w:r>
        <w:rPr>
          <w:rFonts w:hint="eastAsia" w:ascii="宋体" w:hAnsi="宋体" w:eastAsia="宋体" w:cs="宋体"/>
          <w:lang w:val="en-US" w:eastAsia="zh-CN" w:bidi="zh-CN"/>
        </w:rPr>
        <w:t xml:space="preserve">地址：河南自贸试验区郑州片区（郑东）金水东路33号美盛中心写字楼6层609号 </w:t>
      </w:r>
    </w:p>
    <w:p w14:paraId="010C7004">
      <w:pPr>
        <w:keepNext w:val="0"/>
        <w:keepLines w:val="0"/>
        <w:pageBreakBefore w:val="0"/>
        <w:widowControl/>
        <w:tabs>
          <w:tab w:val="left" w:pos="2136"/>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lang w:val="en-US" w:eastAsia="zh-CN" w:bidi="zh-CN"/>
        </w:rPr>
      </w:pPr>
      <w:r>
        <w:rPr>
          <w:rFonts w:hint="eastAsia" w:ascii="宋体" w:hAnsi="宋体" w:eastAsia="宋体" w:cs="宋体"/>
          <w:lang w:val="en-US" w:eastAsia="zh-CN" w:bidi="zh-CN"/>
        </w:rPr>
        <w:t xml:space="preserve">联系人：杨帅兵 </w:t>
      </w:r>
    </w:p>
    <w:p w14:paraId="32AB12F7">
      <w:pPr>
        <w:keepNext w:val="0"/>
        <w:keepLines w:val="0"/>
        <w:pageBreakBefore w:val="0"/>
        <w:widowControl/>
        <w:tabs>
          <w:tab w:val="left" w:pos="2136"/>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lang w:val="en-US" w:eastAsia="zh-CN" w:bidi="zh-CN"/>
        </w:rPr>
      </w:pPr>
      <w:r>
        <w:rPr>
          <w:rFonts w:hint="eastAsia" w:ascii="宋体" w:hAnsi="宋体" w:eastAsia="宋体" w:cs="宋体"/>
          <w:lang w:val="en-US" w:eastAsia="zh-CN" w:bidi="zh-CN"/>
        </w:rPr>
        <w:t>联系方式：15378724948</w:t>
      </w:r>
    </w:p>
    <w:p w14:paraId="69D129B2">
      <w:pPr>
        <w:keepNext w:val="0"/>
        <w:keepLines w:val="0"/>
        <w:pageBreakBefore w:val="0"/>
        <w:widowControl/>
        <w:tabs>
          <w:tab w:val="left" w:pos="2136"/>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lang w:val="en-US" w:eastAsia="zh-CN" w:bidi="zh-CN"/>
        </w:rPr>
      </w:pPr>
      <w:r>
        <w:rPr>
          <w:rFonts w:hint="eastAsia" w:ascii="宋体" w:hAnsi="宋体" w:eastAsia="宋体" w:cs="宋体"/>
          <w:lang w:val="en-US" w:eastAsia="zh-CN" w:bidi="zh-CN"/>
        </w:rPr>
        <w:t>3.项目联系方式</w:t>
      </w:r>
    </w:p>
    <w:p w14:paraId="70548E45">
      <w:pPr>
        <w:keepNext w:val="0"/>
        <w:keepLines w:val="0"/>
        <w:pageBreakBefore w:val="0"/>
        <w:widowControl/>
        <w:tabs>
          <w:tab w:val="left" w:pos="2136"/>
        </w:tabs>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lang w:val="en-US" w:eastAsia="zh-CN" w:bidi="zh-CN"/>
        </w:rPr>
      </w:pPr>
      <w:r>
        <w:rPr>
          <w:rFonts w:hint="eastAsia" w:ascii="宋体" w:hAnsi="宋体" w:eastAsia="宋体" w:cs="宋体"/>
          <w:lang w:val="en-US" w:eastAsia="zh-CN" w:bidi="zh-CN"/>
        </w:rPr>
        <w:t>项目联系人：杨帅兵</w:t>
      </w:r>
    </w:p>
    <w:p w14:paraId="3013916D">
      <w:pPr>
        <w:keepNext w:val="0"/>
        <w:keepLines w:val="0"/>
        <w:pageBreakBefore w:val="0"/>
        <w:widowControl/>
        <w:tabs>
          <w:tab w:val="left" w:pos="2136"/>
        </w:tabs>
        <w:kinsoku/>
        <w:wordWrap/>
        <w:overflowPunct/>
        <w:topLinePunct w:val="0"/>
        <w:autoSpaceDE w:val="0"/>
        <w:autoSpaceDN w:val="0"/>
        <w:bidi w:val="0"/>
        <w:adjustRightInd/>
        <w:snapToGrid/>
        <w:spacing w:line="360" w:lineRule="auto"/>
        <w:ind w:firstLine="420" w:firstLineChars="200"/>
        <w:textAlignment w:val="auto"/>
        <w:rPr>
          <w:sz w:val="24"/>
          <w:szCs w:val="24"/>
        </w:rPr>
      </w:pPr>
      <w:r>
        <w:rPr>
          <w:rFonts w:hint="eastAsia" w:ascii="宋体" w:hAnsi="宋体" w:eastAsia="宋体" w:cs="宋体"/>
          <w:lang w:val="en-US" w:eastAsia="zh-CN" w:bidi="zh-CN"/>
        </w:rPr>
        <w:t xml:space="preserve">联系方式：15378724948 </w:t>
      </w:r>
    </w:p>
    <w:p w14:paraId="4D3E4BAA">
      <w:pPr>
        <w:spacing w:line="201" w:lineRule="auto"/>
        <w:rPr>
          <w:sz w:val="24"/>
          <w:szCs w:val="24"/>
        </w:rPr>
      </w:pPr>
    </w:p>
    <w:p w14:paraId="1DC4021F">
      <w:pPr>
        <w:spacing w:line="201" w:lineRule="auto"/>
        <w:jc w:val="right"/>
        <w:rPr>
          <w:rFonts w:hint="default" w:eastAsia="宋体"/>
          <w:sz w:val="24"/>
          <w:szCs w:val="24"/>
          <w:lang w:val="en-US" w:eastAsia="zh-CN"/>
        </w:rPr>
        <w:sectPr>
          <w:footerReference r:id="rId6" w:type="default"/>
          <w:pgSz w:w="11905" w:h="16838"/>
          <w:pgMar w:top="1361" w:right="1417" w:bottom="1247" w:left="1417" w:header="839" w:footer="884" w:gutter="0"/>
          <w:pgNumType w:fmt="numberInDash" w:start="1"/>
          <w:cols w:space="0" w:num="1"/>
          <w:rtlGutter w:val="0"/>
          <w:docGrid w:linePitch="0" w:charSpace="0"/>
        </w:sectPr>
      </w:pPr>
      <w:r>
        <w:rPr>
          <w:rFonts w:hint="eastAsia" w:ascii="宋体" w:hAnsi="宋体" w:eastAsia="宋体" w:cs="宋体"/>
          <w:sz w:val="21"/>
          <w:szCs w:val="21"/>
          <w:lang w:val="en-US" w:eastAsia="zh-CN"/>
        </w:rPr>
        <w:t>2026年5月28日</w:t>
      </w:r>
    </w:p>
    <w:p w14:paraId="4BFAA6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b/>
          <w:bCs/>
          <w:spacing w:val="7"/>
          <w:sz w:val="30"/>
          <w:szCs w:val="30"/>
        </w:rPr>
      </w:pPr>
      <w:bookmarkStart w:id="27" w:name="_Toc14820"/>
      <w:bookmarkStart w:id="28" w:name="_Toc11256"/>
      <w:r>
        <w:rPr>
          <w:b/>
          <w:bCs/>
          <w:spacing w:val="7"/>
          <w:sz w:val="30"/>
          <w:szCs w:val="30"/>
        </w:rPr>
        <w:t>第二章</w:t>
      </w:r>
      <w:r>
        <w:rPr>
          <w:rFonts w:hint="eastAsia"/>
          <w:b/>
          <w:bCs/>
          <w:spacing w:val="7"/>
          <w:sz w:val="30"/>
          <w:szCs w:val="30"/>
          <w:lang w:val="en-US" w:eastAsia="zh-CN"/>
        </w:rPr>
        <w:t xml:space="preserve">  </w:t>
      </w:r>
      <w:r>
        <w:rPr>
          <w:b/>
          <w:bCs/>
          <w:spacing w:val="7"/>
          <w:sz w:val="30"/>
          <w:szCs w:val="30"/>
        </w:rPr>
        <w:t>投标人须知</w:t>
      </w:r>
      <w:bookmarkEnd w:id="27"/>
      <w:bookmarkEnd w:id="28"/>
    </w:p>
    <w:p w14:paraId="6C9E7E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sz w:val="24"/>
          <w:szCs w:val="24"/>
        </w:rPr>
      </w:pPr>
      <w:bookmarkStart w:id="29" w:name="_Toc6537"/>
      <w:bookmarkStart w:id="30" w:name="_Toc15178"/>
      <w:r>
        <w:rPr>
          <w:b/>
          <w:bCs/>
          <w:sz w:val="24"/>
          <w:szCs w:val="24"/>
        </w:rPr>
        <w:t>投标人须知资料表</w:t>
      </w:r>
      <w:bookmarkEnd w:id="29"/>
      <w:bookmarkEnd w:id="30"/>
    </w:p>
    <w:p w14:paraId="4732A3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28" w:firstLineChars="200"/>
        <w:textAlignment w:val="baseline"/>
        <w:rPr>
          <w:rFonts w:hint="eastAsia" w:ascii="宋体" w:hAnsi="宋体" w:eastAsia="宋体" w:cs="宋体"/>
          <w:sz w:val="22"/>
          <w:szCs w:val="22"/>
        </w:rPr>
      </w:pPr>
      <w:r>
        <w:rPr>
          <w:rFonts w:hint="eastAsia" w:ascii="宋体" w:hAnsi="宋体" w:eastAsia="宋体" w:cs="宋体"/>
          <w:spacing w:val="-3"/>
          <w:sz w:val="22"/>
          <w:szCs w:val="22"/>
        </w:rPr>
        <w:t>本表是对投标人须知的具体补充和修改</w:t>
      </w:r>
      <w:r>
        <w:rPr>
          <w:rFonts w:hint="eastAsia" w:ascii="宋体" w:hAnsi="宋体" w:eastAsia="宋体" w:cs="宋体"/>
          <w:spacing w:val="-23"/>
          <w:sz w:val="22"/>
          <w:szCs w:val="22"/>
        </w:rPr>
        <w:t xml:space="preserve"> </w:t>
      </w:r>
      <w:r>
        <w:rPr>
          <w:rFonts w:hint="eastAsia" w:ascii="宋体" w:hAnsi="宋体" w:eastAsia="宋体" w:cs="宋体"/>
          <w:spacing w:val="-3"/>
          <w:sz w:val="22"/>
          <w:szCs w:val="22"/>
        </w:rPr>
        <w:t>，如有矛盾</w:t>
      </w:r>
      <w:r>
        <w:rPr>
          <w:rFonts w:hint="eastAsia" w:ascii="宋体" w:hAnsi="宋体" w:eastAsia="宋体" w:cs="宋体"/>
          <w:spacing w:val="-28"/>
          <w:sz w:val="22"/>
          <w:szCs w:val="22"/>
        </w:rPr>
        <w:t xml:space="preserve"> </w:t>
      </w:r>
      <w:r>
        <w:rPr>
          <w:rFonts w:hint="eastAsia" w:ascii="宋体" w:hAnsi="宋体" w:eastAsia="宋体" w:cs="宋体"/>
          <w:spacing w:val="-3"/>
          <w:sz w:val="22"/>
          <w:szCs w:val="22"/>
        </w:rPr>
        <w:t>，均以本资料表为准。</w:t>
      </w:r>
    </w:p>
    <w:p w14:paraId="1B8013D2">
      <w:pPr>
        <w:spacing w:line="137" w:lineRule="exact"/>
      </w:pPr>
    </w:p>
    <w:tbl>
      <w:tblPr>
        <w:tblStyle w:val="20"/>
        <w:tblW w:w="500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9"/>
        <w:gridCol w:w="1441"/>
        <w:gridCol w:w="6836"/>
      </w:tblGrid>
      <w:tr w14:paraId="09460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723E945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b/>
                <w:bCs/>
                <w:spacing w:val="-2"/>
                <w:sz w:val="21"/>
                <w:szCs w:val="21"/>
              </w:rPr>
              <w:t>条款号</w:t>
            </w:r>
          </w:p>
        </w:tc>
        <w:tc>
          <w:tcPr>
            <w:tcW w:w="793" w:type="pct"/>
            <w:vAlign w:val="center"/>
          </w:tcPr>
          <w:p w14:paraId="4C652E7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条目</w:t>
            </w:r>
          </w:p>
        </w:tc>
        <w:tc>
          <w:tcPr>
            <w:tcW w:w="3760" w:type="pct"/>
            <w:vAlign w:val="center"/>
          </w:tcPr>
          <w:p w14:paraId="01EA93E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b/>
                <w:bCs/>
                <w:spacing w:val="-15"/>
                <w:sz w:val="21"/>
                <w:szCs w:val="21"/>
              </w:rPr>
              <w:t>内容</w:t>
            </w:r>
          </w:p>
        </w:tc>
      </w:tr>
      <w:tr w14:paraId="1FAB0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3D7AC3E9">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2.2</w:t>
            </w:r>
          </w:p>
        </w:tc>
        <w:tc>
          <w:tcPr>
            <w:tcW w:w="793" w:type="pct"/>
            <w:vAlign w:val="center"/>
          </w:tcPr>
          <w:p w14:paraId="2A9D3CE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项目属性</w:t>
            </w:r>
          </w:p>
        </w:tc>
        <w:tc>
          <w:tcPr>
            <w:tcW w:w="3760" w:type="pct"/>
            <w:vAlign w:val="center"/>
          </w:tcPr>
          <w:p w14:paraId="21AABDB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1"/>
                <w:sz w:val="21"/>
                <w:szCs w:val="21"/>
              </w:rPr>
              <w:t>项目属性：</w:t>
            </w:r>
            <w:r>
              <w:rPr>
                <w:rFonts w:hint="eastAsia" w:ascii="宋体" w:hAnsi="宋体" w:eastAsia="宋体" w:cs="宋体"/>
                <w:sz w:val="21"/>
                <w:szCs w:val="21"/>
              </w:rPr>
              <w:t xml:space="preserve"> </w:t>
            </w:r>
            <w:r>
              <w:rPr>
                <w:rFonts w:hint="eastAsia" w:ascii="宋体" w:hAnsi="宋体" w:eastAsia="宋体" w:cs="宋体"/>
                <w:spacing w:val="19"/>
                <w:sz w:val="21"/>
                <w:szCs w:val="21"/>
              </w:rPr>
              <w:t>□服务</w:t>
            </w:r>
            <w:r>
              <w:rPr>
                <w:rFonts w:hint="eastAsia" w:ascii="宋体" w:hAnsi="宋体" w:eastAsia="宋体" w:cs="宋体"/>
                <w:spacing w:val="19"/>
                <w:sz w:val="21"/>
                <w:szCs w:val="21"/>
                <w:lang w:val="en-US" w:eastAsia="zh-CN"/>
              </w:rPr>
              <w:t xml:space="preserve">   </w:t>
            </w:r>
            <w:r>
              <w:rPr>
                <w:rFonts w:hint="eastAsia" w:ascii="宋体" w:hAnsi="宋体" w:eastAsia="宋体" w:cs="宋体"/>
                <w:spacing w:val="19"/>
                <w:sz w:val="21"/>
                <w:szCs w:val="21"/>
                <w:lang w:eastAsia="zh-CN"/>
              </w:rPr>
              <w:t>☑</w:t>
            </w:r>
            <w:r>
              <w:rPr>
                <w:rFonts w:hint="eastAsia" w:ascii="宋体" w:hAnsi="宋体" w:eastAsia="宋体" w:cs="宋体"/>
                <w:spacing w:val="19"/>
                <w:sz w:val="21"/>
                <w:szCs w:val="21"/>
              </w:rPr>
              <w:t>货物</w:t>
            </w:r>
          </w:p>
        </w:tc>
      </w:tr>
      <w:tr w14:paraId="0C177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29075D7F">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2.3</w:t>
            </w:r>
          </w:p>
        </w:tc>
        <w:tc>
          <w:tcPr>
            <w:tcW w:w="793" w:type="pct"/>
            <w:vAlign w:val="center"/>
          </w:tcPr>
          <w:p w14:paraId="0F9700A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科研仪器设备</w:t>
            </w:r>
          </w:p>
        </w:tc>
        <w:tc>
          <w:tcPr>
            <w:tcW w:w="3760" w:type="pct"/>
            <w:vAlign w:val="center"/>
          </w:tcPr>
          <w:p w14:paraId="360FE90A">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是否属于科研仪器设备采购项目：</w:t>
            </w:r>
            <w:r>
              <w:rPr>
                <w:rFonts w:hint="eastAsia" w:ascii="宋体" w:hAnsi="宋体" w:eastAsia="宋体" w:cs="宋体"/>
                <w:spacing w:val="5"/>
                <w:sz w:val="21"/>
                <w:szCs w:val="21"/>
              </w:rPr>
              <w:t xml:space="preserve"> </w:t>
            </w:r>
            <w:r>
              <w:rPr>
                <w:rFonts w:hint="eastAsia" w:ascii="宋体" w:hAnsi="宋体" w:eastAsia="宋体" w:cs="宋体"/>
                <w:spacing w:val="29"/>
                <w:sz w:val="21"/>
                <w:szCs w:val="21"/>
              </w:rPr>
              <w:t>□是</w:t>
            </w:r>
            <w:r>
              <w:rPr>
                <w:rFonts w:hint="eastAsia" w:ascii="宋体" w:hAnsi="宋体" w:eastAsia="宋体" w:cs="宋体"/>
                <w:spacing w:val="29"/>
                <w:sz w:val="21"/>
                <w:szCs w:val="21"/>
                <w:lang w:val="en-US" w:eastAsia="zh-CN"/>
              </w:rPr>
              <w:t xml:space="preserve">    </w:t>
            </w:r>
            <w:r>
              <w:rPr>
                <w:rFonts w:hint="eastAsia" w:ascii="宋体" w:hAnsi="宋体" w:eastAsia="宋体" w:cs="宋体"/>
                <w:spacing w:val="29"/>
                <w:sz w:val="21"/>
                <w:szCs w:val="21"/>
                <w:lang w:eastAsia="zh-CN"/>
              </w:rPr>
              <w:t>☑</w:t>
            </w:r>
            <w:r>
              <w:rPr>
                <w:rFonts w:hint="eastAsia" w:ascii="宋体" w:hAnsi="宋体" w:eastAsia="宋体" w:cs="宋体"/>
                <w:spacing w:val="29"/>
                <w:sz w:val="21"/>
                <w:szCs w:val="21"/>
              </w:rPr>
              <w:t>否</w:t>
            </w:r>
          </w:p>
        </w:tc>
      </w:tr>
      <w:tr w14:paraId="56889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4FDDCED7">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2.4</w:t>
            </w:r>
          </w:p>
        </w:tc>
        <w:tc>
          <w:tcPr>
            <w:tcW w:w="793" w:type="pct"/>
            <w:vAlign w:val="center"/>
          </w:tcPr>
          <w:p w14:paraId="18C43A9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核心产品</w:t>
            </w:r>
          </w:p>
        </w:tc>
        <w:tc>
          <w:tcPr>
            <w:tcW w:w="3760" w:type="pct"/>
            <w:vAlign w:val="center"/>
          </w:tcPr>
          <w:p w14:paraId="4C55DDB5">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□关于核心产品本项目</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包不适用。</w:t>
            </w:r>
          </w:p>
          <w:p w14:paraId="2D0FAF0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□本项目</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包为单一产品采购项目。</w:t>
            </w:r>
          </w:p>
          <w:p w14:paraId="4AF2EE6C">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本项目为非单一产品采购项目，核心产品为</w:t>
            </w:r>
            <w:r>
              <w:rPr>
                <w:rFonts w:hint="eastAsia" w:ascii="宋体" w:hAnsi="宋体" w:eastAsia="宋体" w:cs="宋体"/>
                <w:spacing w:val="1"/>
                <w:sz w:val="21"/>
                <w:szCs w:val="21"/>
                <w:highlight w:val="none"/>
              </w:rPr>
              <w:t>：</w:t>
            </w:r>
            <w:r>
              <w:rPr>
                <w:rFonts w:hint="eastAsia" w:ascii="宋体" w:hAnsi="宋体" w:eastAsia="宋体" w:cs="宋体"/>
                <w:color w:val="auto"/>
                <w:sz w:val="21"/>
                <w:szCs w:val="21"/>
                <w:highlight w:val="none"/>
                <w:u w:val="single"/>
                <w:lang w:eastAsia="zh-CN" w:bidi="zh-CN"/>
              </w:rPr>
              <w:t>数字化摄影X射线机（DR）</w:t>
            </w:r>
            <w:r>
              <w:rPr>
                <w:rFonts w:hint="eastAsia" w:ascii="宋体" w:hAnsi="宋体" w:eastAsia="宋体" w:cs="宋体"/>
                <w:sz w:val="21"/>
                <w:szCs w:val="21"/>
                <w:highlight w:val="none"/>
              </w:rPr>
              <w:t>。</w:t>
            </w:r>
          </w:p>
        </w:tc>
      </w:tr>
      <w:tr w14:paraId="4B362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Merge w:val="restart"/>
            <w:tcBorders>
              <w:bottom w:val="nil"/>
            </w:tcBorders>
            <w:vAlign w:val="center"/>
          </w:tcPr>
          <w:p w14:paraId="50DFA0FC">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3.1</w:t>
            </w:r>
          </w:p>
        </w:tc>
        <w:tc>
          <w:tcPr>
            <w:tcW w:w="793" w:type="pct"/>
            <w:vAlign w:val="center"/>
          </w:tcPr>
          <w:p w14:paraId="3B998C7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现场考察</w:t>
            </w:r>
          </w:p>
        </w:tc>
        <w:tc>
          <w:tcPr>
            <w:tcW w:w="3760" w:type="pct"/>
            <w:vAlign w:val="center"/>
          </w:tcPr>
          <w:p w14:paraId="6ABE0D23">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4"/>
                <w:sz w:val="21"/>
                <w:szCs w:val="21"/>
                <w:lang w:eastAsia="zh-CN"/>
              </w:rPr>
              <w:t>☑</w:t>
            </w:r>
            <w:r>
              <w:rPr>
                <w:rFonts w:hint="eastAsia" w:ascii="宋体" w:hAnsi="宋体" w:eastAsia="宋体" w:cs="宋体"/>
                <w:spacing w:val="14"/>
                <w:sz w:val="21"/>
                <w:szCs w:val="21"/>
              </w:rPr>
              <w:t>不组织</w:t>
            </w:r>
          </w:p>
          <w:p w14:paraId="7BF38C7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□组织，考察时间：</w:t>
            </w:r>
            <w:r>
              <w:rPr>
                <w:rFonts w:hint="eastAsia" w:ascii="宋体" w:hAnsi="宋体" w:eastAsia="宋体" w:cs="宋体"/>
                <w:spacing w:val="-2"/>
                <w:sz w:val="21"/>
                <w:szCs w:val="21"/>
                <w:u w:val="single" w:color="auto"/>
              </w:rPr>
              <w:t xml:space="preserve">   </w:t>
            </w:r>
            <w:r>
              <w:rPr>
                <w:rFonts w:hint="eastAsia" w:ascii="宋体" w:hAnsi="宋体" w:eastAsia="宋体" w:cs="宋体"/>
                <w:spacing w:val="-50"/>
                <w:sz w:val="21"/>
                <w:szCs w:val="21"/>
              </w:rPr>
              <w:t xml:space="preserve"> </w:t>
            </w:r>
            <w:r>
              <w:rPr>
                <w:rFonts w:hint="eastAsia" w:ascii="宋体" w:hAnsi="宋体" w:eastAsia="宋体" w:cs="宋体"/>
                <w:spacing w:val="-2"/>
                <w:sz w:val="21"/>
                <w:szCs w:val="21"/>
              </w:rPr>
              <w:t>年_月_</w:t>
            </w:r>
            <w:r>
              <w:rPr>
                <w:rFonts w:hint="eastAsia" w:ascii="宋体" w:hAnsi="宋体" w:eastAsia="宋体" w:cs="宋体"/>
                <w:spacing w:val="-13"/>
                <w:sz w:val="21"/>
                <w:szCs w:val="21"/>
              </w:rPr>
              <w:t xml:space="preserve"> </w:t>
            </w:r>
            <w:r>
              <w:rPr>
                <w:rFonts w:hint="eastAsia" w:ascii="宋体" w:hAnsi="宋体" w:eastAsia="宋体" w:cs="宋体"/>
                <w:spacing w:val="-2"/>
                <w:sz w:val="21"/>
                <w:szCs w:val="21"/>
              </w:rPr>
              <w:t>日_点_分</w:t>
            </w:r>
          </w:p>
          <w:p w14:paraId="49069AC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考察地点：</w:t>
            </w:r>
            <w:r>
              <w:rPr>
                <w:rFonts w:hint="eastAsia" w:ascii="宋体" w:hAnsi="宋体" w:eastAsia="宋体" w:cs="宋体"/>
                <w:spacing w:val="1"/>
                <w:sz w:val="21"/>
                <w:szCs w:val="21"/>
                <w:u w:val="single" w:color="auto"/>
              </w:rPr>
              <w:t xml:space="preserve">                    </w:t>
            </w:r>
            <w:r>
              <w:rPr>
                <w:rFonts w:hint="eastAsia" w:ascii="宋体" w:hAnsi="宋体" w:eastAsia="宋体" w:cs="宋体"/>
                <w:spacing w:val="-2"/>
                <w:sz w:val="21"/>
                <w:szCs w:val="21"/>
              </w:rPr>
              <w:t>。</w:t>
            </w:r>
          </w:p>
        </w:tc>
      </w:tr>
      <w:tr w14:paraId="1CEAB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Merge w:val="continue"/>
            <w:tcBorders>
              <w:top w:val="nil"/>
            </w:tcBorders>
            <w:vAlign w:val="center"/>
          </w:tcPr>
          <w:p w14:paraId="001FB17C">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p>
        </w:tc>
        <w:tc>
          <w:tcPr>
            <w:tcW w:w="793" w:type="pct"/>
            <w:vAlign w:val="center"/>
          </w:tcPr>
          <w:p w14:paraId="4C8BF56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开标前答疑会</w:t>
            </w:r>
          </w:p>
        </w:tc>
        <w:tc>
          <w:tcPr>
            <w:tcW w:w="3760" w:type="pct"/>
            <w:vAlign w:val="center"/>
          </w:tcPr>
          <w:p w14:paraId="7CF491FF">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4"/>
                <w:sz w:val="21"/>
                <w:szCs w:val="21"/>
                <w:lang w:eastAsia="zh-CN"/>
              </w:rPr>
              <w:t>☑</w:t>
            </w:r>
            <w:r>
              <w:rPr>
                <w:rFonts w:hint="eastAsia" w:ascii="宋体" w:hAnsi="宋体" w:eastAsia="宋体" w:cs="宋体"/>
                <w:spacing w:val="14"/>
                <w:sz w:val="21"/>
                <w:szCs w:val="21"/>
              </w:rPr>
              <w:t>不召开</w:t>
            </w:r>
          </w:p>
          <w:p w14:paraId="28C8017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□召开</w:t>
            </w:r>
            <w:r>
              <w:rPr>
                <w:rFonts w:hint="eastAsia" w:ascii="宋体" w:hAnsi="宋体" w:eastAsia="宋体" w:cs="宋体"/>
                <w:spacing w:val="-15"/>
                <w:sz w:val="21"/>
                <w:szCs w:val="21"/>
              </w:rPr>
              <w:t xml:space="preserve"> </w:t>
            </w:r>
            <w:r>
              <w:rPr>
                <w:rFonts w:hint="eastAsia" w:ascii="宋体" w:hAnsi="宋体" w:eastAsia="宋体" w:cs="宋体"/>
                <w:spacing w:val="-4"/>
                <w:sz w:val="21"/>
                <w:szCs w:val="21"/>
              </w:rPr>
              <w:t>，召开时间：</w:t>
            </w:r>
            <w:r>
              <w:rPr>
                <w:rFonts w:hint="eastAsia" w:ascii="宋体" w:hAnsi="宋体" w:eastAsia="宋体" w:cs="宋体"/>
                <w:spacing w:val="-4"/>
                <w:sz w:val="21"/>
                <w:szCs w:val="21"/>
                <w:u w:val="single" w:color="auto"/>
              </w:rPr>
              <w:t xml:space="preserve">   </w:t>
            </w:r>
            <w:r>
              <w:rPr>
                <w:rFonts w:hint="eastAsia" w:ascii="宋体" w:hAnsi="宋体" w:eastAsia="宋体" w:cs="宋体"/>
                <w:spacing w:val="-64"/>
                <w:sz w:val="21"/>
                <w:szCs w:val="21"/>
              </w:rPr>
              <w:t xml:space="preserve"> </w:t>
            </w:r>
            <w:r>
              <w:rPr>
                <w:rFonts w:hint="eastAsia" w:ascii="宋体" w:hAnsi="宋体" w:eastAsia="宋体" w:cs="宋体"/>
                <w:spacing w:val="-4"/>
                <w:sz w:val="21"/>
                <w:szCs w:val="21"/>
              </w:rPr>
              <w:t>年_月_</w:t>
            </w:r>
            <w:r>
              <w:rPr>
                <w:rFonts w:hint="eastAsia" w:ascii="宋体" w:hAnsi="宋体" w:eastAsia="宋体" w:cs="宋体"/>
                <w:spacing w:val="-13"/>
                <w:sz w:val="21"/>
                <w:szCs w:val="21"/>
              </w:rPr>
              <w:t xml:space="preserve"> </w:t>
            </w:r>
            <w:r>
              <w:rPr>
                <w:rFonts w:hint="eastAsia" w:ascii="宋体" w:hAnsi="宋体" w:eastAsia="宋体" w:cs="宋体"/>
                <w:spacing w:val="-4"/>
                <w:sz w:val="21"/>
                <w:szCs w:val="21"/>
              </w:rPr>
              <w:t>日_点_分</w:t>
            </w:r>
          </w:p>
          <w:p w14:paraId="155F177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召开地点：</w:t>
            </w:r>
            <w:r>
              <w:rPr>
                <w:rFonts w:hint="eastAsia" w:ascii="宋体" w:hAnsi="宋体" w:eastAsia="宋体" w:cs="宋体"/>
                <w:spacing w:val="1"/>
                <w:sz w:val="21"/>
                <w:szCs w:val="21"/>
                <w:u w:val="single" w:color="auto"/>
              </w:rPr>
              <w:t xml:space="preserve">                    </w:t>
            </w:r>
            <w:r>
              <w:rPr>
                <w:rFonts w:hint="eastAsia" w:ascii="宋体" w:hAnsi="宋体" w:eastAsia="宋体" w:cs="宋体"/>
                <w:spacing w:val="-3"/>
                <w:sz w:val="21"/>
                <w:szCs w:val="21"/>
              </w:rPr>
              <w:t>。</w:t>
            </w:r>
          </w:p>
        </w:tc>
      </w:tr>
      <w:tr w14:paraId="53977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4CC0463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1"/>
                <w:sz w:val="21"/>
                <w:szCs w:val="21"/>
              </w:rPr>
              <w:t>4.1</w:t>
            </w:r>
          </w:p>
        </w:tc>
        <w:tc>
          <w:tcPr>
            <w:tcW w:w="793" w:type="pct"/>
            <w:vAlign w:val="center"/>
          </w:tcPr>
          <w:p w14:paraId="1509D31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样品</w:t>
            </w:r>
          </w:p>
        </w:tc>
        <w:tc>
          <w:tcPr>
            <w:tcW w:w="3760" w:type="pct"/>
            <w:vAlign w:val="center"/>
          </w:tcPr>
          <w:p w14:paraId="248A2E0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投标样品递交：</w:t>
            </w:r>
          </w:p>
          <w:p w14:paraId="03F658E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4"/>
                <w:sz w:val="21"/>
                <w:szCs w:val="21"/>
                <w:lang w:eastAsia="zh-CN"/>
              </w:rPr>
              <w:t>☑</w:t>
            </w:r>
            <w:r>
              <w:rPr>
                <w:rFonts w:hint="eastAsia" w:ascii="宋体" w:hAnsi="宋体" w:eastAsia="宋体" w:cs="宋体"/>
                <w:spacing w:val="14"/>
                <w:sz w:val="21"/>
                <w:szCs w:val="21"/>
              </w:rPr>
              <w:t>不需要</w:t>
            </w:r>
          </w:p>
          <w:p w14:paraId="4971F29C">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5"/>
                <w:sz w:val="21"/>
                <w:szCs w:val="21"/>
              </w:rPr>
              <w:t>□需要，具体要求如下：</w:t>
            </w:r>
          </w:p>
          <w:p w14:paraId="0DD74FC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（1）样品制作的标准和要求</w:t>
            </w:r>
            <w:r>
              <w:rPr>
                <w:rFonts w:hint="eastAsia" w:ascii="宋体" w:hAnsi="宋体" w:eastAsia="宋体" w:cs="宋体"/>
                <w:spacing w:val="2"/>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2"/>
                <w:sz w:val="21"/>
                <w:szCs w:val="21"/>
              </w:rPr>
              <w:t>；</w:t>
            </w:r>
          </w:p>
          <w:p w14:paraId="6463A721">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5"/>
                <w:sz w:val="21"/>
                <w:szCs w:val="21"/>
              </w:rPr>
              <w:t>（2）是否需要随样品提交相关检测报告：</w:t>
            </w:r>
          </w:p>
          <w:p w14:paraId="36EECF5D">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4"/>
                <w:sz w:val="21"/>
                <w:szCs w:val="21"/>
              </w:rPr>
              <w:t>□不需要</w:t>
            </w:r>
          </w:p>
          <w:p w14:paraId="704B208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9"/>
                <w:sz w:val="21"/>
                <w:szCs w:val="21"/>
              </w:rPr>
              <w:t>□需要</w:t>
            </w:r>
          </w:p>
          <w:p w14:paraId="7D3CA583">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（3）样品递交要求</w:t>
            </w:r>
            <w:r>
              <w:rPr>
                <w:rFonts w:hint="eastAsia" w:ascii="宋体" w:hAnsi="宋体" w:eastAsia="宋体" w:cs="宋体"/>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rPr>
              <w:t>；</w:t>
            </w:r>
          </w:p>
          <w:p w14:paraId="7F955EB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（4）未中标人样品退还</w:t>
            </w:r>
            <w:r>
              <w:rPr>
                <w:rFonts w:hint="eastAsia" w:ascii="宋体" w:hAnsi="宋体" w:eastAsia="宋体" w:cs="宋体"/>
                <w:spacing w:val="-2"/>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2"/>
                <w:sz w:val="21"/>
                <w:szCs w:val="21"/>
              </w:rPr>
              <w:t>；</w:t>
            </w:r>
          </w:p>
          <w:p w14:paraId="0406546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（5）中标人样品保管、封存及退还：</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w:t>
            </w:r>
          </w:p>
          <w:p w14:paraId="7586C7C3">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（6）其他要求（如有</w:t>
            </w:r>
            <w:r>
              <w:rPr>
                <w:rFonts w:hint="eastAsia" w:ascii="宋体" w:hAnsi="宋体" w:eastAsia="宋体" w:cs="宋体"/>
                <w:spacing w:val="-62"/>
                <w:sz w:val="21"/>
                <w:szCs w:val="21"/>
              </w:rPr>
              <w:t>）：</w:t>
            </w:r>
            <w:r>
              <w:rPr>
                <w:rFonts w:hint="eastAsia" w:ascii="宋体" w:hAnsi="宋体" w:eastAsia="宋体" w:cs="宋体"/>
                <w:spacing w:val="1"/>
                <w:sz w:val="21"/>
                <w:szCs w:val="21"/>
                <w:u w:val="single" w:color="auto"/>
              </w:rPr>
              <w:t xml:space="preserve">               </w:t>
            </w:r>
            <w:r>
              <w:rPr>
                <w:rFonts w:hint="eastAsia" w:ascii="宋体" w:hAnsi="宋体" w:eastAsia="宋体" w:cs="宋体"/>
                <w:spacing w:val="2"/>
                <w:sz w:val="21"/>
                <w:szCs w:val="21"/>
              </w:rPr>
              <w:t>。</w:t>
            </w:r>
          </w:p>
        </w:tc>
      </w:tr>
      <w:tr w14:paraId="1549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71356141">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1"/>
                <w:sz w:val="21"/>
                <w:szCs w:val="21"/>
              </w:rPr>
              <w:t>5.2.5</w:t>
            </w:r>
          </w:p>
        </w:tc>
        <w:tc>
          <w:tcPr>
            <w:tcW w:w="793" w:type="pct"/>
            <w:vAlign w:val="center"/>
          </w:tcPr>
          <w:p w14:paraId="4140280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标的所属行业</w:t>
            </w:r>
          </w:p>
        </w:tc>
        <w:tc>
          <w:tcPr>
            <w:tcW w:w="3760" w:type="pct"/>
            <w:vAlign w:val="center"/>
          </w:tcPr>
          <w:p w14:paraId="6331357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本项目采购标的对应的中小企业划分标准所属行业：</w:t>
            </w:r>
          </w:p>
          <w:tbl>
            <w:tblPr>
              <w:tblStyle w:val="20"/>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67"/>
              <w:gridCol w:w="2904"/>
              <w:gridCol w:w="3135"/>
            </w:tblGrid>
            <w:tr w14:paraId="3DE76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vAlign w:val="center"/>
                </w:tcPr>
                <w:p w14:paraId="13B4418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lang w:val="en-US" w:eastAsia="zh-CN"/>
                    </w:rPr>
                    <w:t>序号</w:t>
                  </w:r>
                </w:p>
              </w:tc>
              <w:tc>
                <w:tcPr>
                  <w:tcW w:w="2904" w:type="dxa"/>
                  <w:vAlign w:val="center"/>
                </w:tcPr>
                <w:p w14:paraId="52E1DF8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标的名称</w:t>
                  </w:r>
                </w:p>
              </w:tc>
              <w:tc>
                <w:tcPr>
                  <w:tcW w:w="3135" w:type="dxa"/>
                  <w:vAlign w:val="center"/>
                </w:tcPr>
                <w:p w14:paraId="0A4DC46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中小企业划分标准所属行业</w:t>
                  </w:r>
                </w:p>
              </w:tc>
            </w:tr>
            <w:tr w14:paraId="5F603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14:paraId="1D367E2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1</w:t>
                  </w:r>
                </w:p>
              </w:tc>
              <w:tc>
                <w:tcPr>
                  <w:tcW w:w="2904" w:type="dxa"/>
                  <w:vAlign w:val="center"/>
                </w:tcPr>
                <w:p w14:paraId="13EC954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color w:val="auto"/>
                      <w:sz w:val="21"/>
                      <w:szCs w:val="21"/>
                      <w:highlight w:val="none"/>
                      <w:lang w:eastAsia="zh-CN" w:bidi="zh-CN"/>
                    </w:rPr>
                    <w:t>全自动多参数滴定分析仪</w:t>
                  </w:r>
                </w:p>
              </w:tc>
              <w:tc>
                <w:tcPr>
                  <w:tcW w:w="3135" w:type="dxa"/>
                  <w:vAlign w:val="center"/>
                </w:tcPr>
                <w:p w14:paraId="1493F813">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工业</w:t>
                  </w:r>
                </w:p>
              </w:tc>
            </w:tr>
            <w:tr w14:paraId="1BF18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14:paraId="3B970B4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2</w:t>
                  </w:r>
                </w:p>
              </w:tc>
              <w:tc>
                <w:tcPr>
                  <w:tcW w:w="2904" w:type="dxa"/>
                  <w:vAlign w:val="center"/>
                </w:tcPr>
                <w:p w14:paraId="0D92220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color w:val="auto"/>
                      <w:sz w:val="21"/>
                      <w:szCs w:val="21"/>
                      <w:highlight w:val="none"/>
                      <w:lang w:eastAsia="zh-CN" w:bidi="zh-CN"/>
                    </w:rPr>
                    <w:t>蒸发恒重分析仪</w:t>
                  </w:r>
                </w:p>
              </w:tc>
              <w:tc>
                <w:tcPr>
                  <w:tcW w:w="3135" w:type="dxa"/>
                  <w:vAlign w:val="center"/>
                </w:tcPr>
                <w:p w14:paraId="51352B1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工业</w:t>
                  </w:r>
                </w:p>
              </w:tc>
            </w:tr>
            <w:tr w14:paraId="32562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14:paraId="59DAC0A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3</w:t>
                  </w:r>
                </w:p>
              </w:tc>
              <w:tc>
                <w:tcPr>
                  <w:tcW w:w="2904" w:type="dxa"/>
                  <w:vAlign w:val="center"/>
                </w:tcPr>
                <w:p w14:paraId="6B26CA36">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color w:val="auto"/>
                      <w:sz w:val="21"/>
                      <w:szCs w:val="21"/>
                      <w:highlight w:val="none"/>
                      <w:lang w:eastAsia="zh-CN" w:bidi="zh-CN"/>
                    </w:rPr>
                    <w:t>全自动游离二氧化硅前处理仪</w:t>
                  </w:r>
                </w:p>
              </w:tc>
              <w:tc>
                <w:tcPr>
                  <w:tcW w:w="3135" w:type="dxa"/>
                  <w:vAlign w:val="center"/>
                </w:tcPr>
                <w:p w14:paraId="592019C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工业</w:t>
                  </w:r>
                </w:p>
              </w:tc>
            </w:tr>
            <w:tr w14:paraId="45F34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14:paraId="74D0B65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4</w:t>
                  </w:r>
                </w:p>
              </w:tc>
              <w:tc>
                <w:tcPr>
                  <w:tcW w:w="2904" w:type="dxa"/>
                  <w:vAlign w:val="center"/>
                </w:tcPr>
                <w:p w14:paraId="383DBE8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color w:val="auto"/>
                      <w:sz w:val="21"/>
                      <w:szCs w:val="21"/>
                      <w:highlight w:val="none"/>
                      <w:lang w:eastAsia="zh-CN" w:bidi="zh-CN"/>
                    </w:rPr>
                    <w:t>全自动流动注射分析仪</w:t>
                  </w:r>
                </w:p>
              </w:tc>
              <w:tc>
                <w:tcPr>
                  <w:tcW w:w="3135" w:type="dxa"/>
                  <w:vAlign w:val="center"/>
                </w:tcPr>
                <w:p w14:paraId="56EF2EE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工业</w:t>
                  </w:r>
                </w:p>
              </w:tc>
            </w:tr>
            <w:tr w14:paraId="29461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14:paraId="3179AE1D">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5</w:t>
                  </w:r>
                </w:p>
              </w:tc>
              <w:tc>
                <w:tcPr>
                  <w:tcW w:w="2904" w:type="dxa"/>
                  <w:vAlign w:val="center"/>
                </w:tcPr>
                <w:p w14:paraId="6649CAC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color w:val="auto"/>
                      <w:sz w:val="21"/>
                      <w:szCs w:val="21"/>
                      <w:highlight w:val="none"/>
                      <w:lang w:eastAsia="zh-CN" w:bidi="zh-CN"/>
                    </w:rPr>
                    <w:t>全自动核酸处理仪</w:t>
                  </w:r>
                </w:p>
              </w:tc>
              <w:tc>
                <w:tcPr>
                  <w:tcW w:w="3135" w:type="dxa"/>
                  <w:vAlign w:val="center"/>
                </w:tcPr>
                <w:p w14:paraId="6074C4F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工业</w:t>
                  </w:r>
                </w:p>
              </w:tc>
            </w:tr>
            <w:tr w14:paraId="118C3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14:paraId="6DF7A28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6</w:t>
                  </w:r>
                </w:p>
              </w:tc>
              <w:tc>
                <w:tcPr>
                  <w:tcW w:w="2904" w:type="dxa"/>
                  <w:vAlign w:val="center"/>
                </w:tcPr>
                <w:p w14:paraId="5FC25FE9">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color w:val="auto"/>
                      <w:sz w:val="21"/>
                      <w:szCs w:val="21"/>
                      <w:highlight w:val="none"/>
                      <w:lang w:eastAsia="zh-CN" w:bidi="zh-CN"/>
                    </w:rPr>
                    <w:t>生物安全柜</w:t>
                  </w:r>
                </w:p>
              </w:tc>
              <w:tc>
                <w:tcPr>
                  <w:tcW w:w="3135" w:type="dxa"/>
                  <w:vAlign w:val="center"/>
                </w:tcPr>
                <w:p w14:paraId="1A69BD0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工业</w:t>
                  </w:r>
                </w:p>
              </w:tc>
            </w:tr>
            <w:tr w14:paraId="52ED0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14:paraId="7B85469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1"/>
                      <w:szCs w:val="21"/>
                      <w:u w:val="none"/>
                      <w:lang w:val="en-US" w:eastAsia="zh-CN" w:bidi="ar"/>
                    </w:rPr>
                    <w:t>7</w:t>
                  </w:r>
                </w:p>
              </w:tc>
              <w:tc>
                <w:tcPr>
                  <w:tcW w:w="2904" w:type="dxa"/>
                  <w:vAlign w:val="center"/>
                </w:tcPr>
                <w:p w14:paraId="0E92209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宋体" w:hAnsi="宋体" w:eastAsia="宋体" w:cs="宋体"/>
                      <w:sz w:val="21"/>
                      <w:szCs w:val="21"/>
                    </w:rPr>
                  </w:pPr>
                  <w:r>
                    <w:rPr>
                      <w:rFonts w:hint="eastAsia" w:ascii="宋体" w:hAnsi="宋体" w:eastAsia="宋体" w:cs="宋体"/>
                      <w:color w:val="auto"/>
                      <w:sz w:val="21"/>
                      <w:szCs w:val="21"/>
                      <w:highlight w:val="none"/>
                      <w:lang w:eastAsia="zh-CN" w:bidi="zh-CN"/>
                    </w:rPr>
                    <w:t>数字化摄影X射线机（DR）</w:t>
                  </w:r>
                </w:p>
              </w:tc>
              <w:tc>
                <w:tcPr>
                  <w:tcW w:w="3135" w:type="dxa"/>
                  <w:vAlign w:val="center"/>
                </w:tcPr>
                <w:p w14:paraId="6AB0C3B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工业</w:t>
                  </w:r>
                </w:p>
              </w:tc>
            </w:tr>
          </w:tbl>
          <w:p w14:paraId="220D65F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p>
        </w:tc>
      </w:tr>
      <w:tr w14:paraId="2F1F7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41A4AF26">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0"/>
                <w:sz w:val="21"/>
                <w:szCs w:val="21"/>
              </w:rPr>
              <w:t>11.2</w:t>
            </w:r>
          </w:p>
        </w:tc>
        <w:tc>
          <w:tcPr>
            <w:tcW w:w="793" w:type="pct"/>
            <w:vAlign w:val="center"/>
          </w:tcPr>
          <w:p w14:paraId="5B6CEDB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投标报价</w:t>
            </w:r>
          </w:p>
        </w:tc>
        <w:tc>
          <w:tcPr>
            <w:tcW w:w="3760" w:type="pct"/>
            <w:vAlign w:val="center"/>
          </w:tcPr>
          <w:p w14:paraId="3B31E65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投标报价的特殊规定：</w:t>
            </w:r>
          </w:p>
          <w:p w14:paraId="77BF90EC">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9"/>
                <w:sz w:val="21"/>
                <w:szCs w:val="21"/>
                <w:lang w:eastAsia="zh-CN"/>
              </w:rPr>
              <w:t>☑</w:t>
            </w:r>
            <w:r>
              <w:rPr>
                <w:rFonts w:hint="eastAsia" w:ascii="宋体" w:hAnsi="宋体" w:eastAsia="宋体" w:cs="宋体"/>
                <w:spacing w:val="29"/>
                <w:sz w:val="21"/>
                <w:szCs w:val="21"/>
              </w:rPr>
              <w:t>无</w:t>
            </w:r>
          </w:p>
          <w:p w14:paraId="24048339">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5"/>
                <w:sz w:val="21"/>
                <w:szCs w:val="21"/>
              </w:rPr>
              <w:t>□有，具体情形：</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rPr>
              <w:t>。</w:t>
            </w:r>
          </w:p>
        </w:tc>
      </w:tr>
      <w:tr w14:paraId="44949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1726403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0"/>
                <w:sz w:val="21"/>
                <w:szCs w:val="21"/>
              </w:rPr>
              <w:t>12.1</w:t>
            </w:r>
          </w:p>
        </w:tc>
        <w:tc>
          <w:tcPr>
            <w:tcW w:w="793" w:type="pct"/>
            <w:vMerge w:val="restart"/>
            <w:tcBorders>
              <w:bottom w:val="nil"/>
            </w:tcBorders>
            <w:vAlign w:val="center"/>
          </w:tcPr>
          <w:p w14:paraId="5D6BE2A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投标保证金</w:t>
            </w:r>
          </w:p>
        </w:tc>
        <w:tc>
          <w:tcPr>
            <w:tcW w:w="3760" w:type="pct"/>
            <w:vAlign w:val="center"/>
          </w:tcPr>
          <w:p w14:paraId="00490B1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z w:val="21"/>
                <w:szCs w:val="21"/>
                <w:lang w:eastAsia="zh-CN"/>
              </w:rPr>
              <w:t>根据豫财购{2019}4号文规定，本项目不再收取保证金。</w:t>
            </w:r>
          </w:p>
        </w:tc>
      </w:tr>
      <w:tr w14:paraId="1541C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0EBC1E96">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1"/>
                <w:sz w:val="21"/>
                <w:szCs w:val="21"/>
              </w:rPr>
              <w:t>12.8.2</w:t>
            </w:r>
          </w:p>
        </w:tc>
        <w:tc>
          <w:tcPr>
            <w:tcW w:w="793" w:type="pct"/>
            <w:vMerge w:val="continue"/>
            <w:tcBorders>
              <w:top w:val="nil"/>
            </w:tcBorders>
            <w:vAlign w:val="center"/>
          </w:tcPr>
          <w:p w14:paraId="0C23E692">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p>
        </w:tc>
        <w:tc>
          <w:tcPr>
            <w:tcW w:w="3760" w:type="pct"/>
            <w:vAlign w:val="center"/>
          </w:tcPr>
          <w:p w14:paraId="6783CED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投标保证金可以不予退还的其他情形：</w:t>
            </w:r>
          </w:p>
          <w:p w14:paraId="70F4B96A">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9"/>
                <w:sz w:val="21"/>
                <w:szCs w:val="21"/>
                <w:lang w:eastAsia="zh-CN"/>
              </w:rPr>
              <w:t>☑</w:t>
            </w:r>
            <w:r>
              <w:rPr>
                <w:rFonts w:hint="eastAsia" w:ascii="宋体" w:hAnsi="宋体" w:eastAsia="宋体" w:cs="宋体"/>
                <w:spacing w:val="29"/>
                <w:sz w:val="21"/>
                <w:szCs w:val="21"/>
              </w:rPr>
              <w:t>无</w:t>
            </w:r>
          </w:p>
          <w:p w14:paraId="56ED97E0">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5"/>
                <w:sz w:val="21"/>
                <w:szCs w:val="21"/>
              </w:rPr>
              <w:t>□有，具体情形：</w:t>
            </w:r>
            <w:r>
              <w:rPr>
                <w:rFonts w:hint="eastAsia" w:ascii="宋体" w:hAnsi="宋体" w:eastAsia="宋体" w:cs="宋体"/>
                <w:spacing w:val="5"/>
                <w:sz w:val="21"/>
                <w:szCs w:val="21"/>
                <w:u w:val="single" w:color="auto"/>
              </w:rPr>
              <w:t xml:space="preserve">        </w:t>
            </w:r>
            <w:r>
              <w:rPr>
                <w:rFonts w:hint="eastAsia" w:ascii="宋体" w:hAnsi="宋体" w:eastAsia="宋体" w:cs="宋体"/>
                <w:spacing w:val="5"/>
                <w:sz w:val="21"/>
                <w:szCs w:val="21"/>
              </w:rPr>
              <w:t>。</w:t>
            </w:r>
          </w:p>
        </w:tc>
      </w:tr>
      <w:tr w14:paraId="5ED6A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5FD81FE5">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0"/>
                <w:sz w:val="21"/>
                <w:szCs w:val="21"/>
              </w:rPr>
              <w:t>13.1</w:t>
            </w:r>
          </w:p>
        </w:tc>
        <w:tc>
          <w:tcPr>
            <w:tcW w:w="793" w:type="pct"/>
            <w:vAlign w:val="center"/>
          </w:tcPr>
          <w:p w14:paraId="0F833D0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投标有效期</w:t>
            </w:r>
          </w:p>
        </w:tc>
        <w:tc>
          <w:tcPr>
            <w:tcW w:w="3760" w:type="pct"/>
            <w:vAlign w:val="center"/>
          </w:tcPr>
          <w:p w14:paraId="78BE291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6"/>
                <w:sz w:val="21"/>
                <w:szCs w:val="21"/>
              </w:rPr>
              <w:t>自提交投标文件的截止之日起算</w:t>
            </w:r>
            <w:r>
              <w:rPr>
                <w:rFonts w:hint="eastAsia" w:ascii="宋体" w:hAnsi="宋体" w:eastAsia="宋体" w:cs="宋体"/>
                <w:spacing w:val="9"/>
                <w:sz w:val="21"/>
                <w:szCs w:val="21"/>
                <w:u w:val="single" w:color="auto"/>
                <w:lang w:val="en-US" w:eastAsia="zh-CN"/>
              </w:rPr>
              <w:t>90</w:t>
            </w:r>
            <w:r>
              <w:rPr>
                <w:rFonts w:hint="eastAsia" w:ascii="宋体" w:hAnsi="宋体" w:eastAsia="宋体" w:cs="宋体"/>
                <w:spacing w:val="-6"/>
                <w:sz w:val="21"/>
                <w:szCs w:val="21"/>
              </w:rPr>
              <w:t>日历天。</w:t>
            </w:r>
          </w:p>
        </w:tc>
      </w:tr>
      <w:tr w14:paraId="0E86C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7FE896C6">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0"/>
                <w:sz w:val="21"/>
                <w:szCs w:val="21"/>
              </w:rPr>
              <w:t>18.2</w:t>
            </w:r>
          </w:p>
        </w:tc>
        <w:tc>
          <w:tcPr>
            <w:tcW w:w="793" w:type="pct"/>
            <w:vAlign w:val="center"/>
          </w:tcPr>
          <w:p w14:paraId="2C1E252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解密时间</w:t>
            </w:r>
          </w:p>
        </w:tc>
        <w:tc>
          <w:tcPr>
            <w:tcW w:w="3760" w:type="pct"/>
            <w:vAlign w:val="center"/>
          </w:tcPr>
          <w:p w14:paraId="40C63597">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解密时间：</w:t>
            </w:r>
            <w:r>
              <w:rPr>
                <w:rFonts w:hint="eastAsia" w:ascii="宋体" w:hAnsi="宋体" w:eastAsia="宋体" w:cs="宋体"/>
                <w:spacing w:val="-1"/>
                <w:sz w:val="21"/>
                <w:szCs w:val="21"/>
                <w:u w:val="single" w:color="auto"/>
                <w:lang w:val="en-US" w:eastAsia="zh-CN"/>
              </w:rPr>
              <w:t>30</w:t>
            </w:r>
            <w:r>
              <w:rPr>
                <w:rFonts w:hint="eastAsia" w:ascii="宋体" w:hAnsi="宋体" w:eastAsia="宋体" w:cs="宋体"/>
                <w:spacing w:val="-1"/>
                <w:sz w:val="21"/>
                <w:szCs w:val="21"/>
              </w:rPr>
              <w:t>分钟</w:t>
            </w:r>
          </w:p>
        </w:tc>
      </w:tr>
      <w:tr w14:paraId="1BFE6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5DCFA4BE">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2"/>
                <w:sz w:val="21"/>
                <w:szCs w:val="21"/>
              </w:rPr>
              <w:t>22.1</w:t>
            </w:r>
          </w:p>
        </w:tc>
        <w:tc>
          <w:tcPr>
            <w:tcW w:w="793" w:type="pct"/>
            <w:vAlign w:val="center"/>
          </w:tcPr>
          <w:p w14:paraId="7BC6045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确定中标人</w:t>
            </w:r>
          </w:p>
        </w:tc>
        <w:tc>
          <w:tcPr>
            <w:tcW w:w="3760" w:type="pct"/>
            <w:vAlign w:val="center"/>
          </w:tcPr>
          <w:p w14:paraId="18F796DF">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pacing w:val="-3"/>
                <w:sz w:val="21"/>
                <w:szCs w:val="21"/>
              </w:rPr>
            </w:pPr>
            <w:r>
              <w:rPr>
                <w:rFonts w:hint="eastAsia" w:ascii="宋体" w:hAnsi="宋体" w:eastAsia="宋体" w:cs="宋体"/>
                <w:spacing w:val="-3"/>
                <w:sz w:val="21"/>
                <w:szCs w:val="21"/>
              </w:rPr>
              <w:t>中标候选人并列的，采购人是否委托评标委员会确定中标人：</w:t>
            </w:r>
          </w:p>
          <w:p w14:paraId="13F88E53">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9"/>
                <w:sz w:val="21"/>
                <w:szCs w:val="21"/>
                <w:lang w:eastAsia="zh-CN"/>
              </w:rPr>
              <w:t>☑</w:t>
            </w:r>
            <w:r>
              <w:rPr>
                <w:rFonts w:hint="eastAsia" w:ascii="宋体" w:hAnsi="宋体" w:eastAsia="宋体" w:cs="宋体"/>
                <w:spacing w:val="29"/>
                <w:sz w:val="21"/>
                <w:szCs w:val="21"/>
              </w:rPr>
              <w:t>否</w:t>
            </w:r>
          </w:p>
          <w:p w14:paraId="1E342E00">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9"/>
                <w:sz w:val="21"/>
                <w:szCs w:val="21"/>
              </w:rPr>
              <w:t>□是</w:t>
            </w:r>
          </w:p>
          <w:p w14:paraId="6743400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中标候选人并列的，按照以下方式确定中标人：</w:t>
            </w:r>
          </w:p>
          <w:p w14:paraId="1EEA20E9">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得分且投标报价均相同的，以</w:t>
            </w:r>
            <w:r>
              <w:rPr>
                <w:rFonts w:hint="eastAsia" w:ascii="宋体" w:hAnsi="宋体" w:eastAsia="宋体" w:cs="宋体"/>
                <w:sz w:val="21"/>
                <w:szCs w:val="21"/>
                <w:u w:val="single"/>
                <w:lang w:val="en-US" w:eastAsia="zh-CN"/>
              </w:rPr>
              <w:t>技术</w:t>
            </w:r>
            <w:r>
              <w:rPr>
                <w:rFonts w:hint="eastAsia" w:ascii="宋体" w:hAnsi="宋体" w:eastAsia="宋体" w:cs="宋体"/>
                <w:spacing w:val="3"/>
                <w:sz w:val="21"/>
                <w:szCs w:val="21"/>
                <w:u w:val="single" w:color="auto"/>
              </w:rPr>
              <w:t>评审因素的量化指标评审</w:t>
            </w:r>
            <w:r>
              <w:rPr>
                <w:rFonts w:hint="eastAsia" w:ascii="宋体" w:hAnsi="宋体" w:eastAsia="宋体" w:cs="宋体"/>
                <w:sz w:val="21"/>
                <w:szCs w:val="21"/>
              </w:rPr>
              <w:t>得分高者为中标人</w:t>
            </w:r>
          </w:p>
          <w:p w14:paraId="676C1E4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1"/>
                <w:sz w:val="21"/>
                <w:szCs w:val="21"/>
              </w:rPr>
              <w:t>□随机抽取</w:t>
            </w:r>
          </w:p>
        </w:tc>
      </w:tr>
      <w:tr w14:paraId="2886D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57DDD4C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pacing w:val="12"/>
                <w:sz w:val="21"/>
                <w:szCs w:val="21"/>
                <w:lang w:val="en-US" w:eastAsia="zh-CN"/>
              </w:rPr>
            </w:pPr>
            <w:r>
              <w:rPr>
                <w:rFonts w:hint="eastAsia" w:ascii="宋体" w:hAnsi="宋体" w:eastAsia="宋体" w:cs="宋体"/>
                <w:spacing w:val="12"/>
                <w:sz w:val="21"/>
                <w:szCs w:val="21"/>
                <w:lang w:val="en-US" w:eastAsia="zh-CN"/>
              </w:rPr>
              <w:t>25.1</w:t>
            </w:r>
          </w:p>
        </w:tc>
        <w:tc>
          <w:tcPr>
            <w:tcW w:w="793" w:type="pct"/>
            <w:vAlign w:val="center"/>
          </w:tcPr>
          <w:p w14:paraId="7582090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pacing w:val="-3"/>
                <w:sz w:val="21"/>
                <w:szCs w:val="21"/>
                <w:lang w:val="en-US" w:eastAsia="zh-CN"/>
              </w:rPr>
            </w:pPr>
            <w:r>
              <w:rPr>
                <w:rFonts w:hint="eastAsia" w:ascii="宋体" w:hAnsi="宋体" w:eastAsia="宋体" w:cs="宋体"/>
                <w:spacing w:val="-3"/>
                <w:sz w:val="21"/>
                <w:szCs w:val="21"/>
                <w:lang w:val="en-US" w:eastAsia="zh-CN"/>
              </w:rPr>
              <w:t>签订合同的时间</w:t>
            </w:r>
          </w:p>
        </w:tc>
        <w:tc>
          <w:tcPr>
            <w:tcW w:w="3760" w:type="pct"/>
            <w:vAlign w:val="center"/>
          </w:tcPr>
          <w:p w14:paraId="13461DD5">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pacing w:val="2"/>
                <w:sz w:val="21"/>
                <w:szCs w:val="21"/>
              </w:rPr>
            </w:pPr>
            <w:r>
              <w:rPr>
                <w:rFonts w:hint="eastAsia" w:ascii="宋体" w:hAnsi="宋体" w:eastAsia="宋体" w:cs="宋体"/>
                <w:spacing w:val="-3"/>
                <w:sz w:val="21"/>
                <w:szCs w:val="21"/>
              </w:rPr>
              <w:t>自中标通知书发出之日起</w:t>
            </w:r>
            <w:r>
              <w:rPr>
                <w:rFonts w:hint="eastAsia" w:ascii="宋体" w:hAnsi="宋体" w:eastAsia="宋体" w:cs="宋体"/>
                <w:spacing w:val="-3"/>
                <w:sz w:val="21"/>
                <w:szCs w:val="21"/>
                <w:lang w:val="en-US" w:eastAsia="zh-CN"/>
              </w:rPr>
              <w:t>2个工作日</w:t>
            </w:r>
          </w:p>
        </w:tc>
      </w:tr>
      <w:tr w14:paraId="232A5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3B5248D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2"/>
                <w:sz w:val="21"/>
                <w:szCs w:val="21"/>
              </w:rPr>
              <w:t>25.5</w:t>
            </w:r>
          </w:p>
        </w:tc>
        <w:tc>
          <w:tcPr>
            <w:tcW w:w="793" w:type="pct"/>
            <w:vAlign w:val="center"/>
          </w:tcPr>
          <w:p w14:paraId="22FFB9F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3"/>
                <w:sz w:val="21"/>
                <w:szCs w:val="21"/>
              </w:rPr>
              <w:t>分包</w:t>
            </w:r>
          </w:p>
        </w:tc>
        <w:tc>
          <w:tcPr>
            <w:tcW w:w="3760" w:type="pct"/>
            <w:vAlign w:val="center"/>
          </w:tcPr>
          <w:p w14:paraId="6DDE71A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本项目的非主体、非关键性工作是否允许分包：</w:t>
            </w:r>
          </w:p>
          <w:p w14:paraId="4AE54840">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4"/>
                <w:sz w:val="21"/>
                <w:szCs w:val="21"/>
                <w:lang w:eastAsia="zh-CN"/>
              </w:rPr>
              <w:t>☑</w:t>
            </w:r>
            <w:r>
              <w:rPr>
                <w:rFonts w:hint="eastAsia" w:ascii="宋体" w:hAnsi="宋体" w:eastAsia="宋体" w:cs="宋体"/>
                <w:spacing w:val="14"/>
                <w:sz w:val="21"/>
                <w:szCs w:val="21"/>
              </w:rPr>
              <w:t>不允许</w:t>
            </w:r>
          </w:p>
          <w:p w14:paraId="22D429AE">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6"/>
                <w:sz w:val="21"/>
                <w:szCs w:val="21"/>
              </w:rPr>
              <w:t>□允许，具体要求：</w:t>
            </w:r>
          </w:p>
          <w:p w14:paraId="49EA1871">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 1）可以分包履行的具体内容</w:t>
            </w:r>
            <w:r>
              <w:rPr>
                <w:rFonts w:hint="eastAsia" w:ascii="宋体" w:hAnsi="宋体" w:eastAsia="宋体" w:cs="宋体"/>
                <w:spacing w:val="4"/>
                <w:sz w:val="21"/>
                <w:szCs w:val="21"/>
              </w:rPr>
              <w:t>：</w:t>
            </w:r>
            <w:r>
              <w:rPr>
                <w:rFonts w:hint="eastAsia" w:ascii="宋体" w:hAnsi="宋体" w:eastAsia="宋体" w:cs="宋体"/>
                <w:spacing w:val="4"/>
                <w:sz w:val="21"/>
                <w:szCs w:val="21"/>
                <w:u w:val="single" w:color="auto"/>
              </w:rPr>
              <w:t xml:space="preserve">        </w:t>
            </w:r>
            <w:r>
              <w:rPr>
                <w:rFonts w:hint="eastAsia" w:ascii="宋体" w:hAnsi="宋体" w:eastAsia="宋体" w:cs="宋体"/>
                <w:spacing w:val="4"/>
                <w:sz w:val="21"/>
                <w:szCs w:val="21"/>
              </w:rPr>
              <w:t>；</w:t>
            </w:r>
          </w:p>
          <w:p w14:paraId="2E1196B9">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7"/>
                <w:sz w:val="21"/>
                <w:szCs w:val="21"/>
              </w:rPr>
              <w:t>（ 2</w:t>
            </w:r>
            <w:r>
              <w:rPr>
                <w:rFonts w:hint="eastAsia" w:ascii="宋体" w:hAnsi="宋体" w:eastAsia="宋体" w:cs="宋体"/>
                <w:spacing w:val="-23"/>
                <w:sz w:val="21"/>
                <w:szCs w:val="21"/>
              </w:rPr>
              <w:t xml:space="preserve"> </w:t>
            </w:r>
            <w:r>
              <w:rPr>
                <w:rFonts w:hint="eastAsia" w:ascii="宋体" w:hAnsi="宋体" w:eastAsia="宋体" w:cs="宋体"/>
                <w:spacing w:val="-7"/>
                <w:sz w:val="21"/>
                <w:szCs w:val="21"/>
              </w:rPr>
              <w:t>）允许分包的金额或者比例</w:t>
            </w:r>
            <w:r>
              <w:rPr>
                <w:rFonts w:hint="eastAsia" w:ascii="宋体" w:hAnsi="宋体" w:eastAsia="宋体" w:cs="宋体"/>
                <w:spacing w:val="5"/>
                <w:sz w:val="21"/>
                <w:szCs w:val="21"/>
              </w:rPr>
              <w:t>：</w:t>
            </w:r>
            <w:r>
              <w:rPr>
                <w:rFonts w:hint="eastAsia" w:ascii="宋体" w:hAnsi="宋体" w:eastAsia="宋体" w:cs="宋体"/>
                <w:spacing w:val="4"/>
                <w:sz w:val="21"/>
                <w:szCs w:val="21"/>
                <w:u w:val="single" w:color="auto"/>
              </w:rPr>
              <w:t xml:space="preserve">        </w:t>
            </w:r>
            <w:r>
              <w:rPr>
                <w:rFonts w:hint="eastAsia" w:ascii="宋体" w:hAnsi="宋体" w:eastAsia="宋体" w:cs="宋体"/>
                <w:spacing w:val="5"/>
                <w:sz w:val="21"/>
                <w:szCs w:val="21"/>
              </w:rPr>
              <w:t>；</w:t>
            </w:r>
          </w:p>
          <w:p w14:paraId="0769299A">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（3）其他要求：</w:t>
            </w:r>
            <w:r>
              <w:rPr>
                <w:rFonts w:hint="eastAsia" w:ascii="宋体" w:hAnsi="宋体" w:eastAsia="宋体" w:cs="宋体"/>
                <w:spacing w:val="4"/>
                <w:sz w:val="21"/>
                <w:szCs w:val="21"/>
                <w:u w:val="single" w:color="auto"/>
              </w:rPr>
              <w:t xml:space="preserve">        </w:t>
            </w:r>
            <w:r>
              <w:rPr>
                <w:rFonts w:hint="eastAsia" w:ascii="宋体" w:hAnsi="宋体" w:eastAsia="宋体" w:cs="宋体"/>
                <w:spacing w:val="2"/>
                <w:sz w:val="21"/>
                <w:szCs w:val="21"/>
              </w:rPr>
              <w:t>。</w:t>
            </w:r>
          </w:p>
        </w:tc>
      </w:tr>
      <w:tr w14:paraId="69F4A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570DAFE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2"/>
                <w:sz w:val="21"/>
                <w:szCs w:val="21"/>
              </w:rPr>
              <w:t>25.6</w:t>
            </w:r>
          </w:p>
        </w:tc>
        <w:tc>
          <w:tcPr>
            <w:tcW w:w="793" w:type="pct"/>
            <w:vAlign w:val="center"/>
          </w:tcPr>
          <w:p w14:paraId="2B9D682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政采贷</w:t>
            </w:r>
          </w:p>
        </w:tc>
        <w:tc>
          <w:tcPr>
            <w:tcW w:w="3760" w:type="pct"/>
            <w:vAlign w:val="center"/>
          </w:tcPr>
          <w:p w14:paraId="2FC1C3F1">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政府采购合同融资是河南省财政厅支持中小微企业发展，针对参与政府采购活动的投标供应商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B3DA6A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z w:val="21"/>
                <w:szCs w:val="21"/>
                <w:lang w:eastAsia="zh-CN"/>
              </w:rPr>
              <w:t>贷款渠道和提供贷款的金融机构，可在河南省政府采购网“河南省政府采购合同融资平台”查询联系。</w:t>
            </w:r>
          </w:p>
        </w:tc>
      </w:tr>
      <w:tr w14:paraId="6DC1C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5F385A39">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2"/>
                <w:sz w:val="21"/>
                <w:szCs w:val="21"/>
              </w:rPr>
              <w:t>26.1.1</w:t>
            </w:r>
          </w:p>
        </w:tc>
        <w:tc>
          <w:tcPr>
            <w:tcW w:w="793" w:type="pct"/>
            <w:vAlign w:val="center"/>
          </w:tcPr>
          <w:p w14:paraId="2474601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询问</w:t>
            </w:r>
          </w:p>
        </w:tc>
        <w:tc>
          <w:tcPr>
            <w:tcW w:w="3760" w:type="pct"/>
            <w:vAlign w:val="center"/>
          </w:tcPr>
          <w:p w14:paraId="049DF07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询问提出形式：</w:t>
            </w:r>
            <w:r>
              <w:rPr>
                <w:rFonts w:hint="eastAsia" w:ascii="宋体" w:hAnsi="宋体" w:eastAsia="宋体" w:cs="宋体"/>
                <w:sz w:val="21"/>
                <w:szCs w:val="21"/>
                <w:u w:val="single" w:color="auto"/>
                <w:lang w:val="en-US" w:eastAsia="zh-CN"/>
              </w:rPr>
              <w:t>书面形式</w:t>
            </w:r>
            <w:r>
              <w:rPr>
                <w:rFonts w:hint="eastAsia" w:ascii="宋体" w:hAnsi="宋体" w:eastAsia="宋体" w:cs="宋体"/>
                <w:sz w:val="21"/>
                <w:szCs w:val="21"/>
                <w:u w:val="single" w:color="auto"/>
              </w:rPr>
              <w:t>。</w:t>
            </w:r>
          </w:p>
        </w:tc>
      </w:tr>
      <w:tr w14:paraId="4E768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7A48B8C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2"/>
                <w:sz w:val="21"/>
                <w:szCs w:val="21"/>
              </w:rPr>
              <w:t>26.3</w:t>
            </w:r>
          </w:p>
        </w:tc>
        <w:tc>
          <w:tcPr>
            <w:tcW w:w="793" w:type="pct"/>
            <w:vAlign w:val="center"/>
          </w:tcPr>
          <w:p w14:paraId="553A632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联系方式</w:t>
            </w:r>
          </w:p>
        </w:tc>
        <w:tc>
          <w:tcPr>
            <w:tcW w:w="3760" w:type="pct"/>
            <w:vAlign w:val="center"/>
          </w:tcPr>
          <w:p w14:paraId="5ECF6EF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接收询问和质疑的联系方式</w:t>
            </w:r>
          </w:p>
          <w:p w14:paraId="3DF5DCB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联系部门</w:t>
            </w:r>
            <w:r>
              <w:rPr>
                <w:rFonts w:hint="eastAsia" w:ascii="宋体" w:hAnsi="宋体" w:eastAsia="宋体" w:cs="宋体"/>
                <w:sz w:val="21"/>
                <w:szCs w:val="21"/>
              </w:rPr>
              <w:t>：</w:t>
            </w:r>
            <w:r>
              <w:rPr>
                <w:rFonts w:hint="eastAsia" w:ascii="宋体" w:hAnsi="宋体" w:eastAsia="宋体" w:cs="宋体"/>
                <w:spacing w:val="2"/>
                <w:sz w:val="21"/>
                <w:szCs w:val="21"/>
                <w:u w:val="single" w:color="auto"/>
              </w:rPr>
              <w:t>河南晖泽工程咨询有限公司</w:t>
            </w:r>
            <w:r>
              <w:rPr>
                <w:rFonts w:hint="eastAsia" w:ascii="宋体" w:hAnsi="宋体" w:eastAsia="宋体" w:cs="宋体"/>
                <w:sz w:val="21"/>
                <w:szCs w:val="21"/>
              </w:rPr>
              <w:t>；</w:t>
            </w:r>
          </w:p>
          <w:p w14:paraId="148EB15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联系电话</w:t>
            </w:r>
            <w:r>
              <w:rPr>
                <w:rFonts w:hint="eastAsia" w:ascii="宋体" w:hAnsi="宋体" w:eastAsia="宋体" w:cs="宋体"/>
                <w:sz w:val="21"/>
                <w:szCs w:val="21"/>
              </w:rPr>
              <w:t>：</w:t>
            </w:r>
            <w:r>
              <w:rPr>
                <w:rFonts w:hint="eastAsia" w:ascii="宋体" w:hAnsi="宋体" w:eastAsia="宋体" w:cs="宋体"/>
                <w:spacing w:val="2"/>
                <w:sz w:val="21"/>
                <w:szCs w:val="21"/>
                <w:u w:val="single" w:color="auto"/>
                <w:lang w:eastAsia="zh-CN"/>
              </w:rPr>
              <w:t>15378724948</w:t>
            </w:r>
            <w:r>
              <w:rPr>
                <w:rFonts w:hint="eastAsia" w:ascii="宋体" w:hAnsi="宋体" w:eastAsia="宋体" w:cs="宋体"/>
                <w:sz w:val="21"/>
                <w:szCs w:val="21"/>
              </w:rPr>
              <w:t>；</w:t>
            </w:r>
          </w:p>
          <w:p w14:paraId="551C953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通讯地址：</w:t>
            </w:r>
            <w:r>
              <w:rPr>
                <w:rFonts w:hint="eastAsia" w:ascii="宋体" w:hAnsi="宋体" w:eastAsia="宋体" w:cs="宋体"/>
                <w:spacing w:val="2"/>
                <w:sz w:val="21"/>
                <w:szCs w:val="21"/>
                <w:u w:val="single" w:color="auto"/>
              </w:rPr>
              <w:t>河南自贸试验区郑州片区（郑东）金水东路33号美盛中心写字楼6层609号</w:t>
            </w:r>
            <w:r>
              <w:rPr>
                <w:rFonts w:hint="eastAsia" w:ascii="宋体" w:hAnsi="宋体" w:eastAsia="宋体" w:cs="宋体"/>
                <w:spacing w:val="-2"/>
                <w:sz w:val="21"/>
                <w:szCs w:val="21"/>
              </w:rPr>
              <w:t>。</w:t>
            </w:r>
          </w:p>
        </w:tc>
      </w:tr>
      <w:tr w14:paraId="6A208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45" w:type="pct"/>
            <w:vAlign w:val="center"/>
          </w:tcPr>
          <w:p w14:paraId="1188260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9"/>
                <w:sz w:val="21"/>
                <w:szCs w:val="21"/>
              </w:rPr>
              <w:t>27</w:t>
            </w:r>
          </w:p>
        </w:tc>
        <w:tc>
          <w:tcPr>
            <w:tcW w:w="793" w:type="pct"/>
            <w:vAlign w:val="center"/>
          </w:tcPr>
          <w:p w14:paraId="4841B08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代理费</w:t>
            </w:r>
          </w:p>
        </w:tc>
        <w:tc>
          <w:tcPr>
            <w:tcW w:w="3760" w:type="pct"/>
            <w:vAlign w:val="center"/>
          </w:tcPr>
          <w:p w14:paraId="036EE4D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3"/>
                <w:sz w:val="21"/>
                <w:szCs w:val="21"/>
              </w:rPr>
              <w:t>收费对象：</w:t>
            </w:r>
          </w:p>
          <w:p w14:paraId="0FE9AD03">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4"/>
                <w:sz w:val="21"/>
                <w:szCs w:val="21"/>
              </w:rPr>
              <w:t>□采购人</w:t>
            </w:r>
          </w:p>
          <w:p w14:paraId="56985179">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pacing w:val="14"/>
                <w:sz w:val="21"/>
                <w:szCs w:val="21"/>
              </w:rPr>
            </w:pPr>
            <w:r>
              <w:rPr>
                <w:rFonts w:hint="eastAsia" w:ascii="宋体" w:hAnsi="宋体" w:eastAsia="宋体" w:cs="宋体"/>
                <w:spacing w:val="14"/>
                <w:sz w:val="21"/>
                <w:szCs w:val="21"/>
                <w:lang w:eastAsia="zh-CN"/>
              </w:rPr>
              <w:t>☑</w:t>
            </w:r>
            <w:r>
              <w:rPr>
                <w:rFonts w:hint="eastAsia" w:ascii="宋体" w:hAnsi="宋体" w:eastAsia="宋体" w:cs="宋体"/>
                <w:spacing w:val="14"/>
                <w:sz w:val="21"/>
                <w:szCs w:val="21"/>
              </w:rPr>
              <w:t>中标人</w:t>
            </w:r>
          </w:p>
          <w:p w14:paraId="019B224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收费标准</w:t>
            </w:r>
            <w:r>
              <w:rPr>
                <w:rFonts w:hint="eastAsia" w:ascii="宋体" w:hAnsi="宋体" w:eastAsia="宋体" w:cs="宋体"/>
                <w:spacing w:val="-1"/>
                <w:sz w:val="21"/>
                <w:szCs w:val="21"/>
              </w:rPr>
              <w:t>：</w:t>
            </w:r>
            <w:r>
              <w:rPr>
                <w:rFonts w:hint="eastAsia" w:ascii="宋体" w:hAnsi="宋体" w:eastAsia="宋体" w:cs="宋体"/>
                <w:spacing w:val="2"/>
                <w:sz w:val="21"/>
                <w:szCs w:val="21"/>
                <w:u w:val="single" w:color="auto"/>
                <w:lang w:val="en-US" w:eastAsia="zh-CN"/>
              </w:rPr>
              <w:t>按照成交金额的1.5%</w:t>
            </w:r>
            <w:r>
              <w:rPr>
                <w:rFonts w:hint="eastAsia" w:ascii="宋体" w:hAnsi="宋体" w:eastAsia="宋体" w:cs="宋体"/>
                <w:spacing w:val="-1"/>
                <w:sz w:val="21"/>
                <w:szCs w:val="21"/>
              </w:rPr>
              <w:t>；</w:t>
            </w:r>
          </w:p>
          <w:p w14:paraId="6905FEA7">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pacing w:val="14"/>
                <w:sz w:val="21"/>
                <w:szCs w:val="21"/>
              </w:rPr>
            </w:pPr>
            <w:r>
              <w:rPr>
                <w:rFonts w:hint="eastAsia" w:ascii="宋体" w:hAnsi="宋体" w:eastAsia="宋体" w:cs="宋体"/>
                <w:spacing w:val="-2"/>
                <w:sz w:val="21"/>
                <w:szCs w:val="21"/>
              </w:rPr>
              <w:t>缴纳时间：</w:t>
            </w:r>
            <w:r>
              <w:rPr>
                <w:rFonts w:hint="eastAsia" w:ascii="宋体" w:hAnsi="宋体" w:eastAsia="宋体" w:cs="宋体"/>
                <w:spacing w:val="2"/>
                <w:sz w:val="21"/>
                <w:szCs w:val="21"/>
                <w:u w:val="single" w:color="auto"/>
              </w:rPr>
              <w:t>成交供应商在领取成交通知书时</w:t>
            </w:r>
            <w:r>
              <w:rPr>
                <w:rFonts w:hint="eastAsia" w:ascii="宋体" w:hAnsi="宋体" w:eastAsia="宋体" w:cs="宋体"/>
                <w:spacing w:val="-2"/>
                <w:sz w:val="21"/>
                <w:szCs w:val="21"/>
              </w:rPr>
              <w:t>。</w:t>
            </w:r>
          </w:p>
        </w:tc>
      </w:tr>
      <w:tr w14:paraId="24630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5000" w:type="pct"/>
            <w:gridSpan w:val="3"/>
            <w:vAlign w:val="center"/>
          </w:tcPr>
          <w:p w14:paraId="7B9479F6">
            <w:pPr>
              <w:keepNext w:val="0"/>
              <w:keepLines w:val="0"/>
              <w:pageBreakBefore w:val="0"/>
              <w:widowControl w:val="0"/>
              <w:numPr>
                <w:ilvl w:val="0"/>
                <w:numId w:val="0"/>
              </w:numPr>
              <w:kinsoku/>
              <w:wordWrap w:val="0"/>
              <w:overflowPunct/>
              <w:topLinePunct w:val="0"/>
              <w:autoSpaceDE/>
              <w:autoSpaceDN/>
              <w:bidi w:val="0"/>
              <w:adjustRightInd/>
              <w:snapToGrid/>
              <w:spacing w:after="0" w:afterLines="0" w:line="360" w:lineRule="auto"/>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其他：1.评审专家劳务报酬按《河南省政府采购评审专家劳务报酬支付标准》进行结算支付，现场专家以现金形式支付，远程专家在评审结束之日起10个工作日内以转账方式支付；</w:t>
            </w:r>
          </w:p>
          <w:p w14:paraId="6A26E5F6">
            <w:pPr>
              <w:pStyle w:val="3"/>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snapToGrid/>
                <w:lang w:val="en-US" w:eastAsia="zh-CN"/>
              </w:rPr>
            </w:pPr>
            <w:r>
              <w:rPr>
                <w:rFonts w:hint="eastAsia" w:ascii="宋体" w:hAnsi="宋体" w:cs="宋体"/>
                <w:snapToGrid/>
                <w:lang w:val="en-US" w:eastAsia="zh-CN"/>
              </w:rPr>
              <w:t>2.</w:t>
            </w:r>
            <w:r>
              <w:rPr>
                <w:rFonts w:hint="eastAsia" w:ascii="宋体" w:hAnsi="宋体" w:eastAsia="宋体" w:cs="宋体"/>
                <w:snapToGrid/>
                <w:lang w:val="en-US" w:eastAsia="zh-CN"/>
              </w:rPr>
              <w:t>投标人可在开标时间之后系统内进行文件解密，答疑澄清；投标人应在解密时间内插入CA锁，输入密码进行解密；投标人的投标文件在规定的30分钟内未解密的，</w:t>
            </w:r>
            <w:r>
              <w:rPr>
                <w:rFonts w:hint="eastAsia" w:ascii="宋体" w:hAnsi="宋体" w:cs="宋体"/>
                <w:snapToGrid/>
                <w:lang w:val="en-US" w:eastAsia="zh-CN"/>
              </w:rPr>
              <w:t>招标人有权</w:t>
            </w:r>
            <w:r>
              <w:rPr>
                <w:rFonts w:hint="eastAsia" w:ascii="宋体" w:hAnsi="宋体" w:eastAsia="宋体" w:cs="宋体"/>
                <w:snapToGrid/>
                <w:lang w:val="en-US" w:eastAsia="zh-CN"/>
              </w:rPr>
              <w:t>退回其投标文件，投标人自行承担一切后果；</w:t>
            </w:r>
          </w:p>
          <w:p w14:paraId="4B67B282">
            <w:pPr>
              <w:pStyle w:val="3"/>
              <w:keepNext w:val="0"/>
              <w:keepLines w:val="0"/>
              <w:pageBreakBefore w:val="0"/>
              <w:widowControl w:val="0"/>
              <w:kinsoku/>
              <w:wordWrap w:val="0"/>
              <w:overflowPunct/>
              <w:topLinePunct w:val="0"/>
              <w:autoSpaceDE/>
              <w:autoSpaceDN/>
              <w:bidi w:val="0"/>
              <w:adjustRightInd/>
              <w:snapToGrid/>
              <w:spacing w:after="0" w:line="360" w:lineRule="auto"/>
              <w:textAlignment w:val="auto"/>
              <w:rPr>
                <w:rFonts w:hint="eastAsia" w:ascii="宋体" w:hAnsi="宋体" w:eastAsia="宋体" w:cs="宋体"/>
                <w:spacing w:val="-2"/>
                <w:sz w:val="21"/>
                <w:szCs w:val="21"/>
              </w:rPr>
            </w:pPr>
            <w:r>
              <w:rPr>
                <w:rFonts w:hint="eastAsia" w:ascii="宋体" w:hAnsi="宋体" w:eastAsia="宋体" w:cs="宋体"/>
                <w:snapToGrid/>
                <w:lang w:val="en-US" w:eastAsia="zh-CN"/>
              </w:rPr>
              <w:t>3.招标文件的最终解释权归招标人。其它未尽事宜，按国家有关法律、法规执行。</w:t>
            </w:r>
          </w:p>
        </w:tc>
      </w:tr>
    </w:tbl>
    <w:p w14:paraId="05C8BC73">
      <w:pPr>
        <w:rPr>
          <w:rFonts w:ascii="Arial"/>
          <w:sz w:val="21"/>
        </w:rPr>
      </w:pPr>
    </w:p>
    <w:p w14:paraId="101B3215">
      <w:pPr>
        <w:spacing w:line="234" w:lineRule="exact"/>
      </w:pPr>
    </w:p>
    <w:p w14:paraId="14CE2B14">
      <w:pPr>
        <w:rPr>
          <w:rFonts w:ascii="Arial"/>
          <w:sz w:val="21"/>
        </w:rPr>
      </w:pPr>
    </w:p>
    <w:p w14:paraId="08C64EF7">
      <w:pPr>
        <w:rPr>
          <w:rFonts w:ascii="Arial" w:hAnsi="Arial" w:eastAsia="Arial" w:cs="Arial"/>
          <w:sz w:val="21"/>
          <w:szCs w:val="21"/>
        </w:rPr>
        <w:sectPr>
          <w:headerReference r:id="rId7" w:type="default"/>
          <w:footerReference r:id="rId8" w:type="default"/>
          <w:pgSz w:w="11905" w:h="16838"/>
          <w:pgMar w:top="1361" w:right="1417" w:bottom="1247" w:left="1417" w:header="839" w:footer="884" w:gutter="0"/>
          <w:pgNumType w:fmt="numberInDash"/>
          <w:cols w:space="0" w:num="1"/>
          <w:rtlGutter w:val="0"/>
          <w:docGrid w:linePitch="0" w:charSpace="0"/>
        </w:sectPr>
      </w:pPr>
    </w:p>
    <w:p w14:paraId="3F27FC3C">
      <w:pPr>
        <w:pStyle w:val="2"/>
        <w:spacing w:before="120" w:line="201" w:lineRule="auto"/>
        <w:ind w:left="3839"/>
        <w:rPr>
          <w:sz w:val="28"/>
          <w:szCs w:val="28"/>
        </w:rPr>
      </w:pPr>
      <w:r>
        <w:rPr>
          <w:b/>
          <w:bCs/>
          <w:spacing w:val="-1"/>
          <w:sz w:val="28"/>
          <w:szCs w:val="28"/>
        </w:rPr>
        <w:t>投标人须知</w:t>
      </w:r>
    </w:p>
    <w:p w14:paraId="345012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sz w:val="21"/>
          <w:szCs w:val="21"/>
        </w:rPr>
      </w:pPr>
      <w:bookmarkStart w:id="31" w:name="_Toc6105"/>
      <w:bookmarkStart w:id="32" w:name="_Toc12582"/>
      <w:r>
        <w:rPr>
          <w:rFonts w:hint="eastAsia" w:ascii="宋体" w:hAnsi="宋体" w:eastAsia="宋体" w:cs="宋体"/>
          <w:b/>
          <w:bCs/>
          <w:spacing w:val="-1"/>
          <w:sz w:val="21"/>
          <w:szCs w:val="21"/>
        </w:rPr>
        <w:t>一</w:t>
      </w:r>
      <w:r>
        <w:rPr>
          <w:rFonts w:hint="eastAsia" w:ascii="宋体" w:hAnsi="宋体" w:eastAsia="宋体" w:cs="宋体"/>
          <w:b/>
          <w:bCs/>
          <w:spacing w:val="-1"/>
          <w:sz w:val="21"/>
          <w:szCs w:val="21"/>
          <w:lang w:eastAsia="zh-CN"/>
        </w:rPr>
        <w:t>、</w:t>
      </w:r>
      <w:r>
        <w:rPr>
          <w:rFonts w:hint="eastAsia" w:ascii="宋体" w:hAnsi="宋体" w:eastAsia="宋体" w:cs="宋体"/>
          <w:b/>
          <w:bCs/>
          <w:spacing w:val="-1"/>
          <w:sz w:val="21"/>
          <w:szCs w:val="21"/>
        </w:rPr>
        <w:t>说明</w:t>
      </w:r>
      <w:bookmarkEnd w:id="31"/>
      <w:bookmarkEnd w:id="32"/>
    </w:p>
    <w:p w14:paraId="241CA9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z w:val="21"/>
          <w:szCs w:val="21"/>
        </w:rPr>
      </w:pPr>
      <w:bookmarkStart w:id="33" w:name="_Toc20510"/>
      <w:r>
        <w:rPr>
          <w:rFonts w:hint="eastAsia" w:ascii="宋体" w:hAnsi="宋体" w:eastAsia="宋体" w:cs="宋体"/>
          <w:b/>
          <w:bCs/>
          <w:spacing w:val="-1"/>
          <w:sz w:val="21"/>
          <w:szCs w:val="21"/>
        </w:rPr>
        <w:t>1</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采购人、采购代理机构、投标人、联合体</w:t>
      </w:r>
      <w:bookmarkEnd w:id="33"/>
    </w:p>
    <w:p w14:paraId="547D82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1.1采购人、采购代理机构：指依法进行政府采购的国家机关、事业单位、团体</w:t>
      </w:r>
      <w:r>
        <w:rPr>
          <w:rFonts w:hint="eastAsia" w:ascii="宋体" w:hAnsi="宋体" w:eastAsia="宋体" w:cs="宋体"/>
          <w:spacing w:val="-5"/>
          <w:sz w:val="21"/>
          <w:szCs w:val="21"/>
        </w:rPr>
        <w:t>组织，及其委托的采购代理机构。本项目采购人、采购代理机构见第一</w:t>
      </w:r>
      <w:r>
        <w:rPr>
          <w:rFonts w:hint="eastAsia" w:ascii="宋体" w:hAnsi="宋体" w:eastAsia="宋体" w:cs="宋体"/>
          <w:spacing w:val="-6"/>
          <w:sz w:val="21"/>
          <w:szCs w:val="21"/>
        </w:rPr>
        <w:t>章《投</w:t>
      </w:r>
      <w:r>
        <w:rPr>
          <w:rFonts w:hint="eastAsia" w:ascii="宋体" w:hAnsi="宋体" w:eastAsia="宋体" w:cs="宋体"/>
          <w:spacing w:val="-15"/>
          <w:w w:val="97"/>
          <w:sz w:val="21"/>
          <w:szCs w:val="21"/>
        </w:rPr>
        <w:t>标邀请》。</w:t>
      </w:r>
    </w:p>
    <w:p w14:paraId="5BE083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1.2投标人（也称“供应商"、“申请人"</w:t>
      </w:r>
      <w:r>
        <w:rPr>
          <w:rFonts w:hint="eastAsia" w:ascii="宋体" w:hAnsi="宋体" w:eastAsia="宋体" w:cs="宋体"/>
          <w:spacing w:val="-65"/>
          <w:sz w:val="21"/>
          <w:szCs w:val="21"/>
        </w:rPr>
        <w:t>）：</w:t>
      </w:r>
      <w:r>
        <w:rPr>
          <w:rFonts w:hint="eastAsia" w:ascii="宋体" w:hAnsi="宋体" w:eastAsia="宋体" w:cs="宋体"/>
          <w:spacing w:val="2"/>
          <w:sz w:val="21"/>
          <w:szCs w:val="21"/>
        </w:rPr>
        <w:t>指向采购人提供货物、工程或者服务的</w:t>
      </w:r>
      <w:r>
        <w:rPr>
          <w:rFonts w:hint="eastAsia" w:ascii="宋体" w:hAnsi="宋体" w:eastAsia="宋体" w:cs="宋体"/>
          <w:spacing w:val="-1"/>
          <w:sz w:val="21"/>
          <w:szCs w:val="21"/>
        </w:rPr>
        <w:t>法人、其他组织或者自然人。</w:t>
      </w:r>
    </w:p>
    <w:p w14:paraId="1CE3305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1.3联合体：指两个以上的自然人、法人或者其他组织组成一个联合体，以一个</w:t>
      </w:r>
      <w:r>
        <w:rPr>
          <w:rFonts w:hint="eastAsia" w:ascii="宋体" w:hAnsi="宋体" w:eastAsia="宋体" w:cs="宋体"/>
          <w:spacing w:val="-1"/>
          <w:sz w:val="21"/>
          <w:szCs w:val="21"/>
        </w:rPr>
        <w:t>供应商的身份共同参加政府采购。</w:t>
      </w:r>
    </w:p>
    <w:p w14:paraId="1DC1FC4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34" w:name="_Toc25984"/>
      <w:r>
        <w:rPr>
          <w:rFonts w:hint="eastAsia" w:ascii="宋体" w:hAnsi="宋体" w:eastAsia="宋体" w:cs="宋体"/>
          <w:b/>
          <w:bCs/>
          <w:spacing w:val="-1"/>
          <w:sz w:val="21"/>
          <w:szCs w:val="21"/>
        </w:rPr>
        <w:t>2</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资金来源、项目属性、科研仪器设备采购、核心产品</w:t>
      </w:r>
      <w:bookmarkEnd w:id="34"/>
    </w:p>
    <w:p w14:paraId="04CC79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宋体" w:hAnsi="宋体" w:eastAsia="宋体" w:cs="宋体"/>
          <w:sz w:val="21"/>
          <w:szCs w:val="21"/>
        </w:rPr>
      </w:pPr>
      <w:r>
        <w:rPr>
          <w:rFonts w:hint="eastAsia" w:ascii="宋体" w:hAnsi="宋体" w:eastAsia="宋体" w:cs="宋体"/>
          <w:spacing w:val="7"/>
          <w:sz w:val="21"/>
          <w:szCs w:val="21"/>
        </w:rPr>
        <w:t>2.1资金来源为财政性资金和/或本项目采购中无法与财</w:t>
      </w:r>
      <w:r>
        <w:rPr>
          <w:rFonts w:hint="eastAsia" w:ascii="宋体" w:hAnsi="宋体" w:eastAsia="宋体" w:cs="宋体"/>
          <w:spacing w:val="6"/>
          <w:sz w:val="21"/>
          <w:szCs w:val="21"/>
        </w:rPr>
        <w:t>政性资金分割的非财政</w:t>
      </w:r>
      <w:r>
        <w:rPr>
          <w:rFonts w:hint="eastAsia" w:ascii="宋体" w:hAnsi="宋体" w:eastAsia="宋体" w:cs="宋体"/>
          <w:spacing w:val="-1"/>
          <w:sz w:val="21"/>
          <w:szCs w:val="21"/>
        </w:rPr>
        <w:t>性资金。</w:t>
      </w:r>
    </w:p>
    <w:p w14:paraId="1463E8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2.2项目属性见《投标人须知资料表》。</w:t>
      </w:r>
    </w:p>
    <w:p w14:paraId="7710A34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2.3是否属于科研仪器设备采购见《投标人须知资料表</w:t>
      </w:r>
      <w:r>
        <w:rPr>
          <w:rFonts w:hint="eastAsia" w:ascii="宋体" w:hAnsi="宋体" w:eastAsia="宋体" w:cs="宋体"/>
          <w:spacing w:val="-3"/>
          <w:sz w:val="21"/>
          <w:szCs w:val="21"/>
        </w:rPr>
        <w:t>》。</w:t>
      </w:r>
    </w:p>
    <w:p w14:paraId="606816C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2.4核心产品见《投标人须知资料表》。</w:t>
      </w:r>
    </w:p>
    <w:p w14:paraId="187D2C3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35" w:name="_Toc12970"/>
      <w:r>
        <w:rPr>
          <w:rFonts w:hint="eastAsia" w:ascii="宋体" w:hAnsi="宋体" w:eastAsia="宋体" w:cs="宋体"/>
          <w:b/>
          <w:bCs/>
          <w:spacing w:val="-1"/>
          <w:sz w:val="21"/>
          <w:szCs w:val="21"/>
        </w:rPr>
        <w:t>3</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现场考察、开标前答疑会</w:t>
      </w:r>
      <w:bookmarkEnd w:id="35"/>
    </w:p>
    <w:p w14:paraId="7FA076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3.1若《投标人须知资料表》中规定了组织现场考察、召开开标前答疑会，则投</w:t>
      </w:r>
      <w:r>
        <w:rPr>
          <w:rFonts w:hint="eastAsia" w:ascii="宋体" w:hAnsi="宋体" w:eastAsia="宋体" w:cs="宋体"/>
          <w:spacing w:val="-1"/>
          <w:sz w:val="21"/>
          <w:szCs w:val="21"/>
        </w:rPr>
        <w:t>标人应按要求在规定的时间和地点参加。</w:t>
      </w:r>
    </w:p>
    <w:p w14:paraId="62F209E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3.2由于未参加现场考察或开</w:t>
      </w:r>
      <w:r>
        <w:rPr>
          <w:rFonts w:hint="eastAsia" w:ascii="宋体" w:hAnsi="宋体" w:eastAsia="宋体" w:cs="宋体"/>
          <w:spacing w:val="1"/>
          <w:sz w:val="21"/>
          <w:szCs w:val="21"/>
        </w:rPr>
        <w:t>标前答疑会而导致对项目实际情况不了解，影响投</w:t>
      </w:r>
      <w:r>
        <w:rPr>
          <w:rFonts w:hint="eastAsia" w:ascii="宋体" w:hAnsi="宋体" w:eastAsia="宋体" w:cs="宋体"/>
          <w:spacing w:val="-1"/>
          <w:sz w:val="21"/>
          <w:szCs w:val="21"/>
        </w:rPr>
        <w:t>标文件编制、投标报价准确性、综合因素响应不全面等问题的，由投标人自行承担不利评审后果。</w:t>
      </w:r>
    </w:p>
    <w:p w14:paraId="67A740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36" w:name="_Toc14001"/>
      <w:r>
        <w:rPr>
          <w:rFonts w:hint="eastAsia" w:ascii="宋体" w:hAnsi="宋体" w:eastAsia="宋体" w:cs="宋体"/>
          <w:b/>
          <w:bCs/>
          <w:spacing w:val="-1"/>
          <w:sz w:val="21"/>
          <w:szCs w:val="21"/>
        </w:rPr>
        <w:t>4</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样品</w:t>
      </w:r>
      <w:bookmarkEnd w:id="36"/>
    </w:p>
    <w:p w14:paraId="222501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4.1本项目是否要求投标人提供</w:t>
      </w:r>
      <w:r>
        <w:rPr>
          <w:rFonts w:hint="eastAsia" w:ascii="宋体" w:hAnsi="宋体" w:eastAsia="宋体" w:cs="宋体"/>
          <w:spacing w:val="1"/>
          <w:sz w:val="21"/>
          <w:szCs w:val="21"/>
        </w:rPr>
        <w:t>样品，以及样品制作的标准和要求、是否需要随</w:t>
      </w:r>
      <w:r>
        <w:rPr>
          <w:rFonts w:hint="eastAsia" w:ascii="宋体" w:hAnsi="宋体" w:eastAsia="宋体" w:cs="宋体"/>
          <w:spacing w:val="-5"/>
          <w:sz w:val="21"/>
          <w:szCs w:val="21"/>
        </w:rPr>
        <w:t>样品提交相关检测报告、样品的递交与退还等要求见《投标人须知资料表》。</w:t>
      </w:r>
    </w:p>
    <w:p w14:paraId="050252D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4.2样品的评审方法以及评审标准等内容见第四章《评标程序、评标方法和评标</w:t>
      </w:r>
      <w:r>
        <w:rPr>
          <w:rFonts w:hint="eastAsia" w:ascii="宋体" w:hAnsi="宋体" w:eastAsia="宋体" w:cs="宋体"/>
          <w:spacing w:val="-18"/>
          <w:w w:val="96"/>
          <w:sz w:val="21"/>
          <w:szCs w:val="21"/>
        </w:rPr>
        <w:t>标准》。</w:t>
      </w:r>
    </w:p>
    <w:p w14:paraId="0BC06E7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37" w:name="_Toc28089"/>
      <w:r>
        <w:rPr>
          <w:rFonts w:hint="eastAsia" w:ascii="宋体" w:hAnsi="宋体" w:eastAsia="宋体" w:cs="宋体"/>
          <w:b/>
          <w:bCs/>
          <w:spacing w:val="-1"/>
          <w:sz w:val="21"/>
          <w:szCs w:val="21"/>
        </w:rPr>
        <w:t>5</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政府采购政策（包括但不限于下列具体政策要求）</w:t>
      </w:r>
      <w:bookmarkEnd w:id="37"/>
    </w:p>
    <w:p w14:paraId="4B3868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5.1采购本国货物、工程和服务</w:t>
      </w:r>
    </w:p>
    <w:p w14:paraId="661897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5.1.1政府采购应当采购本国货物、工程和服务。但有《</w:t>
      </w:r>
      <w:r>
        <w:rPr>
          <w:rFonts w:hint="eastAsia" w:ascii="宋体" w:hAnsi="宋体" w:eastAsia="宋体" w:cs="宋体"/>
          <w:b/>
          <w:bCs/>
          <w:spacing w:val="-1"/>
          <w:sz w:val="21"/>
          <w:szCs w:val="21"/>
        </w:rPr>
        <w:t>中华人民共和国政府采购法</w:t>
      </w:r>
      <w:r>
        <w:rPr>
          <w:rFonts w:hint="eastAsia" w:ascii="宋体" w:hAnsi="宋体" w:eastAsia="宋体" w:cs="宋体"/>
          <w:spacing w:val="-1"/>
          <w:sz w:val="21"/>
          <w:szCs w:val="21"/>
        </w:rPr>
        <w:t>》第十条规定情形的除外。</w:t>
      </w:r>
    </w:p>
    <w:p w14:paraId="536BCD8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5.1.2本项目如接受非本国货物、工程、服务参与投标，则具体要求见第五</w:t>
      </w:r>
      <w:r>
        <w:rPr>
          <w:rFonts w:hint="eastAsia" w:ascii="宋体" w:hAnsi="宋体" w:eastAsia="宋体" w:cs="宋体"/>
          <w:spacing w:val="-14"/>
          <w:sz w:val="21"/>
          <w:szCs w:val="21"/>
        </w:rPr>
        <w:t>章《采购需求》。</w:t>
      </w:r>
    </w:p>
    <w:p w14:paraId="3217BB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宋体" w:hAnsi="宋体" w:eastAsia="宋体" w:cs="宋体"/>
          <w:sz w:val="21"/>
          <w:szCs w:val="21"/>
        </w:rPr>
      </w:pPr>
      <w:r>
        <w:rPr>
          <w:rFonts w:hint="eastAsia" w:ascii="宋体" w:hAnsi="宋体" w:eastAsia="宋体" w:cs="宋体"/>
          <w:spacing w:val="6"/>
          <w:sz w:val="21"/>
          <w:szCs w:val="21"/>
        </w:rPr>
        <w:t>5.1.3进口产品指通过中国海</w:t>
      </w:r>
      <w:r>
        <w:rPr>
          <w:rFonts w:hint="eastAsia" w:ascii="宋体" w:hAnsi="宋体" w:eastAsia="宋体" w:cs="宋体"/>
          <w:spacing w:val="5"/>
          <w:sz w:val="21"/>
          <w:szCs w:val="21"/>
        </w:rPr>
        <w:t>关报关验放进入中国境内且产自关境外的产</w:t>
      </w:r>
      <w:r>
        <w:rPr>
          <w:rFonts w:hint="eastAsia" w:ascii="宋体" w:hAnsi="宋体" w:eastAsia="宋体" w:cs="宋体"/>
          <w:spacing w:val="-4"/>
          <w:sz w:val="21"/>
          <w:szCs w:val="21"/>
        </w:rPr>
        <w:t>品，包括已经进入中国境内的进口产品。关于进口产品的相关规定依</w:t>
      </w:r>
      <w:r>
        <w:rPr>
          <w:rFonts w:hint="eastAsia" w:ascii="宋体" w:hAnsi="宋体" w:eastAsia="宋体" w:cs="宋体"/>
          <w:spacing w:val="-6"/>
          <w:sz w:val="21"/>
          <w:szCs w:val="21"/>
        </w:rPr>
        <w:t>据《政府采购进口产品管理办法》（财库〔2007〕119号文）、《关</w:t>
      </w:r>
      <w:r>
        <w:rPr>
          <w:rFonts w:hint="eastAsia" w:ascii="宋体" w:hAnsi="宋体" w:eastAsia="宋体" w:cs="宋体"/>
          <w:spacing w:val="4"/>
          <w:sz w:val="21"/>
          <w:szCs w:val="21"/>
        </w:rPr>
        <w:t>于政府采购进口产品管理有关问题的通知》（财办库〔2</w:t>
      </w:r>
      <w:r>
        <w:rPr>
          <w:rFonts w:hint="eastAsia" w:ascii="宋体" w:hAnsi="宋体" w:eastAsia="宋体" w:cs="宋体"/>
          <w:spacing w:val="3"/>
          <w:sz w:val="21"/>
          <w:szCs w:val="21"/>
        </w:rPr>
        <w:t>008〕248</w:t>
      </w:r>
      <w:r>
        <w:rPr>
          <w:rFonts w:hint="eastAsia" w:ascii="宋体" w:hAnsi="宋体" w:eastAsia="宋体" w:cs="宋体"/>
          <w:spacing w:val="-21"/>
          <w:w w:val="96"/>
          <w:sz w:val="21"/>
          <w:szCs w:val="21"/>
        </w:rPr>
        <w:t>号文）。</w:t>
      </w:r>
    </w:p>
    <w:p w14:paraId="0C79680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5.1.4根据《国务院办公厅关于在政府采购中实施本国产品标准及相关政策的通知》（国办发〔2025〕34号），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7A2E86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5.2中小企业、监狱企业及残疾人福利性单位</w:t>
      </w:r>
    </w:p>
    <w:p w14:paraId="2206BF7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5.2.1中小企业定义：</w:t>
      </w:r>
    </w:p>
    <w:p w14:paraId="611E1E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5.2.1.1中小企业是指在中华人民共和国境内依法设立，依据国务院</w:t>
      </w:r>
      <w:r>
        <w:rPr>
          <w:rFonts w:hint="eastAsia" w:ascii="宋体" w:hAnsi="宋体" w:eastAsia="宋体" w:cs="宋体"/>
          <w:spacing w:val="-2"/>
          <w:sz w:val="21"/>
          <w:szCs w:val="21"/>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宋体" w:hAnsi="宋体" w:eastAsia="宋体" w:cs="宋体"/>
          <w:spacing w:val="-11"/>
          <w:sz w:val="21"/>
          <w:szCs w:val="21"/>
        </w:rPr>
        <w:t>定依据《中华人民共和国中小企业促进法》、《关于进一步加</w:t>
      </w:r>
      <w:r>
        <w:rPr>
          <w:rFonts w:hint="eastAsia" w:ascii="宋体" w:hAnsi="宋体" w:eastAsia="宋体" w:cs="宋体"/>
          <w:spacing w:val="-1"/>
          <w:sz w:val="21"/>
          <w:szCs w:val="21"/>
        </w:rPr>
        <w:t>大政府采购支持中小企业力度的通知》（财库〔2022〕19</w:t>
      </w:r>
      <w:r>
        <w:rPr>
          <w:rFonts w:hint="eastAsia" w:ascii="宋体" w:hAnsi="宋体" w:eastAsia="宋体" w:cs="宋体"/>
          <w:spacing w:val="-15"/>
          <w:sz w:val="21"/>
          <w:szCs w:val="21"/>
        </w:rPr>
        <w:t>号）、《政府采购促进中小企业发展管理办法》（财库〔20</w:t>
      </w:r>
      <w:r>
        <w:rPr>
          <w:rFonts w:hint="eastAsia" w:ascii="宋体" w:hAnsi="宋体" w:eastAsia="宋体" w:cs="宋体"/>
          <w:spacing w:val="-16"/>
          <w:sz w:val="21"/>
          <w:szCs w:val="21"/>
        </w:rPr>
        <w:t>20〕</w:t>
      </w:r>
      <w:r>
        <w:rPr>
          <w:rFonts w:hint="eastAsia" w:ascii="宋体" w:hAnsi="宋体" w:eastAsia="宋体" w:cs="宋体"/>
          <w:spacing w:val="-13"/>
          <w:sz w:val="21"/>
          <w:szCs w:val="21"/>
        </w:rPr>
        <w:t>46号）、《关于印发中小企业划型标准规定的通知》（</w:t>
      </w:r>
      <w:r>
        <w:rPr>
          <w:rFonts w:hint="eastAsia" w:ascii="宋体" w:hAnsi="宋体" w:eastAsia="宋体" w:cs="宋体"/>
          <w:spacing w:val="-14"/>
          <w:sz w:val="21"/>
          <w:szCs w:val="21"/>
        </w:rPr>
        <w:t>工信部</w:t>
      </w:r>
      <w:r>
        <w:rPr>
          <w:rFonts w:hint="eastAsia" w:ascii="宋体" w:hAnsi="宋体" w:eastAsia="宋体" w:cs="宋体"/>
          <w:spacing w:val="1"/>
          <w:sz w:val="21"/>
          <w:szCs w:val="21"/>
        </w:rPr>
        <w:t>联企业〔2011〕300号）、《金融业企</w:t>
      </w:r>
      <w:r>
        <w:rPr>
          <w:rFonts w:hint="eastAsia" w:ascii="宋体" w:hAnsi="宋体" w:eastAsia="宋体" w:cs="宋体"/>
          <w:sz w:val="21"/>
          <w:szCs w:val="21"/>
        </w:rPr>
        <w:t>业划型标准规定》</w:t>
      </w:r>
      <w:r>
        <w:rPr>
          <w:rFonts w:hint="eastAsia" w:ascii="宋体" w:hAnsi="宋体" w:eastAsia="宋体" w:cs="宋体"/>
          <w:spacing w:val="3"/>
          <w:sz w:val="21"/>
          <w:szCs w:val="21"/>
        </w:rPr>
        <w:t>（〔2015〕309号）等国务院批准的中小企业划分标准执</w:t>
      </w:r>
      <w:r>
        <w:rPr>
          <w:rFonts w:hint="eastAsia" w:ascii="宋体" w:hAnsi="宋体" w:eastAsia="宋体" w:cs="宋体"/>
          <w:spacing w:val="2"/>
          <w:sz w:val="21"/>
          <w:szCs w:val="21"/>
        </w:rPr>
        <w:t>行。</w:t>
      </w:r>
    </w:p>
    <w:p w14:paraId="6E6E3F8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5.2.1.2供应商提供的货物、工程或者服务符合下列</w:t>
      </w:r>
      <w:r>
        <w:rPr>
          <w:rFonts w:hint="eastAsia" w:ascii="宋体" w:hAnsi="宋体" w:eastAsia="宋体" w:cs="宋体"/>
          <w:sz w:val="21"/>
          <w:szCs w:val="21"/>
        </w:rPr>
        <w:t>情形的，享受中</w:t>
      </w:r>
      <w:r>
        <w:rPr>
          <w:rFonts w:hint="eastAsia" w:ascii="宋体" w:hAnsi="宋体" w:eastAsia="宋体" w:cs="宋体"/>
          <w:spacing w:val="-1"/>
          <w:sz w:val="21"/>
          <w:szCs w:val="21"/>
        </w:rPr>
        <w:t>小企业扶持政策：</w:t>
      </w:r>
    </w:p>
    <w:p w14:paraId="4756F9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（1）在货物采购项目中，货物由中小企业制造，</w:t>
      </w:r>
      <w:r>
        <w:rPr>
          <w:rFonts w:hint="eastAsia" w:ascii="宋体" w:hAnsi="宋体" w:eastAsia="宋体" w:cs="宋体"/>
          <w:spacing w:val="-2"/>
          <w:sz w:val="21"/>
          <w:szCs w:val="21"/>
        </w:rPr>
        <w:t>即货物由中小企业生产且使用该中小企业商号或者注册商标；</w:t>
      </w:r>
    </w:p>
    <w:p w14:paraId="442646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（2）在工程采购项目中，工程由中小企业承建，即工程施</w:t>
      </w:r>
      <w:r>
        <w:rPr>
          <w:rFonts w:hint="eastAsia" w:ascii="宋体" w:hAnsi="宋体" w:eastAsia="宋体" w:cs="宋体"/>
          <w:spacing w:val="-1"/>
          <w:sz w:val="21"/>
          <w:szCs w:val="21"/>
        </w:rPr>
        <w:t>工单位为中小企业；</w:t>
      </w:r>
    </w:p>
    <w:p w14:paraId="7B08DB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（3）在服务采购项目中，服务由中小企业承接，即提供服</w:t>
      </w:r>
      <w:r>
        <w:rPr>
          <w:rFonts w:hint="eastAsia" w:ascii="宋体" w:hAnsi="宋体" w:eastAsia="宋体" w:cs="宋体"/>
          <w:spacing w:val="-1"/>
          <w:sz w:val="21"/>
          <w:szCs w:val="21"/>
        </w:rPr>
        <w:t>务的人员为中小企业依照《中华人民共和国劳动合同法》订立劳动合同的从业人员。</w:t>
      </w:r>
    </w:p>
    <w:p w14:paraId="35FF29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5.2.1.3在货物采购项目中，供应商提供的货物既有</w:t>
      </w:r>
      <w:r>
        <w:rPr>
          <w:rFonts w:hint="eastAsia" w:ascii="宋体" w:hAnsi="宋体" w:eastAsia="宋体" w:cs="宋体"/>
          <w:sz w:val="21"/>
          <w:szCs w:val="21"/>
        </w:rPr>
        <w:t>中小企业制造货</w:t>
      </w:r>
      <w:r>
        <w:rPr>
          <w:rFonts w:hint="eastAsia" w:ascii="宋体" w:hAnsi="宋体" w:eastAsia="宋体" w:cs="宋体"/>
          <w:spacing w:val="-2"/>
          <w:sz w:val="21"/>
          <w:szCs w:val="21"/>
        </w:rPr>
        <w:t>物，也有大型企业制造货物的，不享受中小企业扶持政策。</w:t>
      </w:r>
    </w:p>
    <w:p w14:paraId="3ECBE1A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5.2.1.4以联合体形式参加政府采购活动，联合体各方均为中小企业</w:t>
      </w:r>
      <w:r>
        <w:rPr>
          <w:rFonts w:hint="eastAsia" w:ascii="宋体" w:hAnsi="宋体" w:eastAsia="宋体" w:cs="宋体"/>
          <w:spacing w:val="-3"/>
          <w:sz w:val="21"/>
          <w:szCs w:val="21"/>
        </w:rPr>
        <w:t>的，联合体视同中小企业。其中，联合体各方均为小微企业的，联合体视同小微企业。</w:t>
      </w:r>
    </w:p>
    <w:p w14:paraId="24A40C1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5.2.2在政府采购活动中，监狱企业视同小型、微型企业，享受预留份额、</w:t>
      </w:r>
      <w:r>
        <w:rPr>
          <w:rFonts w:hint="eastAsia" w:ascii="宋体" w:hAnsi="宋体" w:eastAsia="宋体" w:cs="宋体"/>
          <w:spacing w:val="-4"/>
          <w:sz w:val="21"/>
          <w:szCs w:val="21"/>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宋体" w:hAnsi="宋体" w:eastAsia="宋体" w:cs="宋体"/>
          <w:spacing w:val="-1"/>
          <w:sz w:val="21"/>
          <w:szCs w:val="21"/>
        </w:rPr>
        <w:t>团监狱管理局、戒毒管理局的企业。</w:t>
      </w:r>
    </w:p>
    <w:p w14:paraId="7414AA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5.2.3在政府采购活动中，残疾人福利性单位视同小型、微型企业，享受预</w:t>
      </w:r>
      <w:r>
        <w:rPr>
          <w:rFonts w:hint="eastAsia" w:ascii="宋体" w:hAnsi="宋体" w:eastAsia="宋体" w:cs="宋体"/>
          <w:spacing w:val="-4"/>
          <w:sz w:val="21"/>
          <w:szCs w:val="21"/>
        </w:rPr>
        <w:t>留份额、评审中价格扣除等促进中小企业发展的政府采购政策。残疾人福利性单位定义：享受政府采购支持政策的残疾人福利性单位应当</w:t>
      </w:r>
      <w:r>
        <w:rPr>
          <w:rFonts w:hint="eastAsia" w:ascii="宋体" w:hAnsi="宋体" w:eastAsia="宋体" w:cs="宋体"/>
          <w:spacing w:val="-1"/>
          <w:sz w:val="21"/>
          <w:szCs w:val="21"/>
        </w:rPr>
        <w:t>同时满足以下条件：</w:t>
      </w:r>
    </w:p>
    <w:p w14:paraId="672B581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宋体" w:hAnsi="宋体" w:eastAsia="宋体" w:cs="宋体"/>
          <w:sz w:val="21"/>
          <w:szCs w:val="21"/>
        </w:rPr>
      </w:pPr>
      <w:r>
        <w:rPr>
          <w:rFonts w:hint="eastAsia" w:ascii="宋体" w:hAnsi="宋体" w:eastAsia="宋体" w:cs="宋体"/>
          <w:spacing w:val="12"/>
          <w:sz w:val="21"/>
          <w:szCs w:val="21"/>
        </w:rPr>
        <w:t>5.2.3.1安置的残疾人占本单位在职职工人数的比例不低于25%</w:t>
      </w:r>
      <w:r>
        <w:rPr>
          <w:rFonts w:hint="eastAsia" w:ascii="宋体" w:hAnsi="宋体" w:eastAsia="宋体" w:cs="宋体"/>
          <w:spacing w:val="4"/>
          <w:sz w:val="21"/>
          <w:szCs w:val="21"/>
        </w:rPr>
        <w:t>（含25%</w:t>
      </w:r>
      <w:r>
        <w:rPr>
          <w:rFonts w:hint="eastAsia" w:ascii="宋体" w:hAnsi="宋体" w:eastAsia="宋体" w:cs="宋体"/>
          <w:spacing w:val="-45"/>
          <w:sz w:val="21"/>
          <w:szCs w:val="21"/>
        </w:rPr>
        <w:t>），</w:t>
      </w:r>
      <w:r>
        <w:rPr>
          <w:rFonts w:hint="eastAsia" w:ascii="宋体" w:hAnsi="宋体" w:eastAsia="宋体" w:cs="宋体"/>
          <w:spacing w:val="4"/>
          <w:sz w:val="21"/>
          <w:szCs w:val="21"/>
        </w:rPr>
        <w:t>并且安置的残疾人人数不少于10人（含10</w:t>
      </w:r>
      <w:r>
        <w:rPr>
          <w:rFonts w:hint="eastAsia" w:ascii="宋体" w:hAnsi="宋体" w:eastAsia="宋体" w:cs="宋体"/>
          <w:spacing w:val="5"/>
          <w:sz w:val="21"/>
          <w:szCs w:val="21"/>
        </w:rPr>
        <w:t>人</w:t>
      </w:r>
      <w:r>
        <w:rPr>
          <w:rFonts w:hint="eastAsia" w:ascii="宋体" w:hAnsi="宋体" w:eastAsia="宋体" w:cs="宋体"/>
          <w:spacing w:val="-55"/>
          <w:sz w:val="21"/>
          <w:szCs w:val="21"/>
        </w:rPr>
        <w:t>）；</w:t>
      </w:r>
    </w:p>
    <w:p w14:paraId="5939A0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5.2.3.2依法与安置的每位残疾人签订了一年以上（</w:t>
      </w:r>
      <w:r>
        <w:rPr>
          <w:rFonts w:hint="eastAsia" w:ascii="宋体" w:hAnsi="宋体" w:eastAsia="宋体" w:cs="宋体"/>
          <w:sz w:val="21"/>
          <w:szCs w:val="21"/>
        </w:rPr>
        <w:t>含一年）的劳动</w:t>
      </w:r>
      <w:r>
        <w:rPr>
          <w:rFonts w:hint="eastAsia" w:ascii="宋体" w:hAnsi="宋体" w:eastAsia="宋体" w:cs="宋体"/>
          <w:spacing w:val="-1"/>
          <w:sz w:val="21"/>
          <w:szCs w:val="21"/>
        </w:rPr>
        <w:t>合同或服务协议；</w:t>
      </w:r>
    </w:p>
    <w:p w14:paraId="4454319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5.2.3.3为安置的每位残疾人按月足额缴纳了基本养</w:t>
      </w:r>
      <w:r>
        <w:rPr>
          <w:rFonts w:hint="eastAsia" w:ascii="宋体" w:hAnsi="宋体" w:eastAsia="宋体" w:cs="宋体"/>
          <w:sz w:val="21"/>
          <w:szCs w:val="21"/>
        </w:rPr>
        <w:t>老保险、基本医疗保险、失业保险、工伤保险和生育保险等社会</w:t>
      </w:r>
      <w:r>
        <w:rPr>
          <w:rFonts w:hint="eastAsia" w:ascii="宋体" w:hAnsi="宋体" w:eastAsia="宋体" w:cs="宋体"/>
          <w:spacing w:val="-1"/>
          <w:sz w:val="21"/>
          <w:szCs w:val="21"/>
        </w:rPr>
        <w:t>保险费；</w:t>
      </w:r>
    </w:p>
    <w:p w14:paraId="044290B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5.2.3.4通过银行等金融机构向安置的每位残疾人，</w:t>
      </w:r>
      <w:r>
        <w:rPr>
          <w:rFonts w:hint="eastAsia" w:ascii="宋体" w:hAnsi="宋体" w:eastAsia="宋体" w:cs="宋体"/>
          <w:sz w:val="21"/>
          <w:szCs w:val="21"/>
        </w:rPr>
        <w:t>按月支付了不低</w:t>
      </w:r>
      <w:r>
        <w:rPr>
          <w:rFonts w:hint="eastAsia" w:ascii="宋体" w:hAnsi="宋体" w:eastAsia="宋体" w:cs="宋体"/>
          <w:spacing w:val="7"/>
          <w:sz w:val="21"/>
          <w:szCs w:val="21"/>
        </w:rPr>
        <w:t>于单位所在区县适用的经省级人民政府批准的月最低工资</w:t>
      </w:r>
      <w:r>
        <w:rPr>
          <w:rFonts w:hint="eastAsia" w:ascii="宋体" w:hAnsi="宋体" w:eastAsia="宋体" w:cs="宋体"/>
          <w:spacing w:val="-1"/>
          <w:sz w:val="21"/>
          <w:szCs w:val="21"/>
        </w:rPr>
        <w:t>标准的工资；</w:t>
      </w:r>
    </w:p>
    <w:p w14:paraId="2941450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5.2.3.5提供本单位制造的货物、承担的工程或者</w:t>
      </w:r>
      <w:r>
        <w:rPr>
          <w:rFonts w:hint="eastAsia" w:ascii="宋体" w:hAnsi="宋体" w:eastAsia="宋体" w:cs="宋体"/>
          <w:spacing w:val="-2"/>
          <w:sz w:val="21"/>
          <w:szCs w:val="21"/>
        </w:rPr>
        <w:t>服务（以下简称产</w:t>
      </w:r>
      <w:r>
        <w:rPr>
          <w:rFonts w:hint="eastAsia" w:ascii="宋体" w:hAnsi="宋体" w:eastAsia="宋体" w:cs="宋体"/>
          <w:spacing w:val="2"/>
          <w:sz w:val="21"/>
          <w:szCs w:val="21"/>
        </w:rPr>
        <w:t>品</w:t>
      </w:r>
      <w:r>
        <w:rPr>
          <w:rFonts w:hint="eastAsia" w:ascii="宋体" w:hAnsi="宋体" w:eastAsia="宋体" w:cs="宋体"/>
          <w:spacing w:val="-51"/>
          <w:w w:val="89"/>
          <w:sz w:val="21"/>
          <w:szCs w:val="21"/>
        </w:rPr>
        <w:t>），</w:t>
      </w:r>
      <w:r>
        <w:rPr>
          <w:rFonts w:hint="eastAsia" w:ascii="宋体" w:hAnsi="宋体" w:eastAsia="宋体" w:cs="宋体"/>
          <w:spacing w:val="2"/>
          <w:sz w:val="21"/>
          <w:szCs w:val="21"/>
        </w:rPr>
        <w:t>或者提供其他残疾人福利性单位制造的货物（不</w:t>
      </w:r>
      <w:r>
        <w:rPr>
          <w:rFonts w:hint="eastAsia" w:ascii="宋体" w:hAnsi="宋体" w:eastAsia="宋体" w:cs="宋体"/>
          <w:spacing w:val="1"/>
          <w:sz w:val="21"/>
          <w:szCs w:val="21"/>
        </w:rPr>
        <w:t>包括</w:t>
      </w:r>
      <w:r>
        <w:rPr>
          <w:rFonts w:hint="eastAsia" w:ascii="宋体" w:hAnsi="宋体" w:eastAsia="宋体" w:cs="宋体"/>
          <w:spacing w:val="-1"/>
          <w:sz w:val="21"/>
          <w:szCs w:val="21"/>
        </w:rPr>
        <w:t>使用非残疾人福利性单位注册商标的货物</w:t>
      </w:r>
      <w:r>
        <w:rPr>
          <w:rFonts w:hint="eastAsia" w:ascii="宋体" w:hAnsi="宋体" w:eastAsia="宋体" w:cs="宋体"/>
          <w:spacing w:val="-49"/>
          <w:sz w:val="21"/>
          <w:szCs w:val="21"/>
        </w:rPr>
        <w:t>）；</w:t>
      </w:r>
    </w:p>
    <w:p w14:paraId="2415AAD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5.2.3.6前款所称残疾人是指法定劳动年龄内，持有</w:t>
      </w:r>
      <w:r>
        <w:rPr>
          <w:rFonts w:hint="eastAsia" w:ascii="宋体" w:hAnsi="宋体" w:eastAsia="宋体" w:cs="宋体"/>
          <w:sz w:val="21"/>
          <w:szCs w:val="21"/>
        </w:rPr>
        <w:t>《中华人民共和</w:t>
      </w:r>
      <w:r>
        <w:rPr>
          <w:rFonts w:hint="eastAsia" w:ascii="宋体" w:hAnsi="宋体" w:eastAsia="宋体" w:cs="宋体"/>
          <w:spacing w:val="-14"/>
          <w:sz w:val="21"/>
          <w:szCs w:val="21"/>
        </w:rPr>
        <w:t>国残疾人证》或者《中华人民共和国残疾军人证（1至</w:t>
      </w:r>
      <w:r>
        <w:rPr>
          <w:rFonts w:hint="eastAsia" w:ascii="宋体" w:hAnsi="宋体" w:eastAsia="宋体" w:cs="宋体"/>
          <w:spacing w:val="-15"/>
          <w:sz w:val="21"/>
          <w:szCs w:val="21"/>
        </w:rPr>
        <w:t>8级）》</w:t>
      </w:r>
      <w:r>
        <w:rPr>
          <w:rFonts w:hint="eastAsia" w:ascii="宋体" w:hAnsi="宋体" w:eastAsia="宋体" w:cs="宋体"/>
          <w:spacing w:val="-3"/>
          <w:sz w:val="21"/>
          <w:szCs w:val="21"/>
        </w:rPr>
        <w:t>的自然人，包括具有劳动条件和劳动意愿的精神残疾人。在</w:t>
      </w:r>
      <w:r>
        <w:rPr>
          <w:rFonts w:hint="eastAsia" w:ascii="宋体" w:hAnsi="宋体" w:eastAsia="宋体" w:cs="宋体"/>
          <w:spacing w:val="7"/>
          <w:sz w:val="21"/>
          <w:szCs w:val="21"/>
        </w:rPr>
        <w:t>职职工人数是指与残疾人福利性单位建立劳动关系并依法</w:t>
      </w:r>
      <w:r>
        <w:rPr>
          <w:rFonts w:hint="eastAsia" w:ascii="宋体" w:hAnsi="宋体" w:eastAsia="宋体" w:cs="宋体"/>
          <w:spacing w:val="-1"/>
          <w:sz w:val="21"/>
          <w:szCs w:val="21"/>
        </w:rPr>
        <w:t>签订劳动合同或服务协议的雇员人数。</w:t>
      </w:r>
    </w:p>
    <w:p w14:paraId="56EF7D8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5.2.4本项目是否专门面向中小企业预留采购份额见第一章《投标邀请》。</w:t>
      </w:r>
    </w:p>
    <w:p w14:paraId="33C4ED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5.2.5采购标的对应的中小企业划分标准所属行业见《投</w:t>
      </w:r>
      <w:r>
        <w:rPr>
          <w:rFonts w:hint="eastAsia" w:ascii="宋体" w:hAnsi="宋体" w:eastAsia="宋体" w:cs="宋体"/>
          <w:spacing w:val="-4"/>
          <w:sz w:val="21"/>
          <w:szCs w:val="21"/>
        </w:rPr>
        <w:t>标人须知资料表》。</w:t>
      </w:r>
    </w:p>
    <w:p w14:paraId="1D780A2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5.2.6小微企业价格评审优惠的政策调整：见第四章《评标程序、评标方法</w:t>
      </w:r>
      <w:r>
        <w:rPr>
          <w:rFonts w:hint="eastAsia" w:ascii="宋体" w:hAnsi="宋体" w:eastAsia="宋体" w:cs="宋体"/>
          <w:spacing w:val="-12"/>
          <w:w w:val="98"/>
          <w:sz w:val="21"/>
          <w:szCs w:val="21"/>
        </w:rPr>
        <w:t>和评标标准》。</w:t>
      </w:r>
    </w:p>
    <w:p w14:paraId="3608539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5.3政府采购节能产品、环境标志产品</w:t>
      </w:r>
    </w:p>
    <w:p w14:paraId="520616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5.3.1政府采购节能产品、环境标志产品实施品目清单管理。财政部、发展</w:t>
      </w:r>
      <w:r>
        <w:rPr>
          <w:rFonts w:hint="eastAsia" w:ascii="宋体" w:hAnsi="宋体" w:eastAsia="宋体" w:cs="宋体"/>
          <w:spacing w:val="-4"/>
          <w:sz w:val="21"/>
          <w:szCs w:val="21"/>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宋体" w:hAnsi="宋体" w:eastAsia="宋体" w:cs="宋体"/>
          <w:spacing w:val="-1"/>
          <w:sz w:val="21"/>
          <w:szCs w:val="21"/>
        </w:rPr>
        <w:t>清单和认证证书实施政府优先采购和强制采购。</w:t>
      </w:r>
    </w:p>
    <w:p w14:paraId="5DE4D6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5.3.2采购人拟采购的产品属于品目清单范围的，采购人及其委托的采购代</w:t>
      </w:r>
      <w:r>
        <w:rPr>
          <w:rFonts w:hint="eastAsia" w:ascii="宋体" w:hAnsi="宋体" w:eastAsia="宋体" w:cs="宋体"/>
          <w:spacing w:val="-5"/>
          <w:sz w:val="21"/>
          <w:szCs w:val="21"/>
        </w:rPr>
        <w:t>理机构依据国家确定的认证机构出具的、处于有效期之内的节能产品、</w:t>
      </w:r>
      <w:r>
        <w:rPr>
          <w:rFonts w:hint="eastAsia" w:ascii="宋体" w:hAnsi="宋体" w:eastAsia="宋体" w:cs="宋体"/>
          <w:spacing w:val="-4"/>
          <w:sz w:val="21"/>
          <w:szCs w:val="21"/>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宋体" w:hAnsi="宋体" w:eastAsia="宋体" w:cs="宋体"/>
          <w:spacing w:val="-2"/>
          <w:sz w:val="21"/>
          <w:szCs w:val="21"/>
        </w:rPr>
        <w:t>〔2019〕9号）。</w:t>
      </w:r>
    </w:p>
    <w:p w14:paraId="358E84A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5.3.3如本项目采购产品属于实施政府强制采购品目清单范</w:t>
      </w:r>
      <w:r>
        <w:rPr>
          <w:rFonts w:hint="eastAsia" w:ascii="宋体" w:hAnsi="宋体" w:eastAsia="宋体" w:cs="宋体"/>
          <w:sz w:val="21"/>
          <w:szCs w:val="21"/>
        </w:rPr>
        <w:t>围的节能产品，</w:t>
      </w:r>
      <w:r>
        <w:rPr>
          <w:rFonts w:hint="eastAsia" w:ascii="宋体" w:hAnsi="宋体" w:eastAsia="宋体" w:cs="宋体"/>
          <w:spacing w:val="-4"/>
          <w:sz w:val="21"/>
          <w:szCs w:val="21"/>
        </w:rPr>
        <w:t>则投标人所报产品必须获得国家确定的认证机构出具的、处于有效期</w:t>
      </w:r>
      <w:r>
        <w:rPr>
          <w:rFonts w:hint="eastAsia" w:ascii="宋体" w:hAnsi="宋体" w:eastAsia="宋体" w:cs="宋体"/>
          <w:spacing w:val="-3"/>
          <w:sz w:val="21"/>
          <w:szCs w:val="21"/>
        </w:rPr>
        <w:t>之内的节能产品认证证书，否则</w:t>
      </w:r>
      <w:r>
        <w:rPr>
          <w:rFonts w:hint="eastAsia" w:ascii="宋体" w:hAnsi="宋体" w:eastAsia="宋体" w:cs="宋体"/>
          <w:b/>
          <w:bCs/>
          <w:spacing w:val="-3"/>
          <w:sz w:val="21"/>
          <w:szCs w:val="21"/>
        </w:rPr>
        <w:t>投标无效</w:t>
      </w:r>
      <w:r>
        <w:rPr>
          <w:rFonts w:hint="eastAsia" w:ascii="宋体" w:hAnsi="宋体" w:eastAsia="宋体" w:cs="宋体"/>
          <w:spacing w:val="-3"/>
          <w:sz w:val="21"/>
          <w:szCs w:val="21"/>
        </w:rPr>
        <w:t>；</w:t>
      </w:r>
    </w:p>
    <w:p w14:paraId="668E78F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5.3.4非政府强制采购的节能产品或环境标志产品，依据品目清单和认证证</w:t>
      </w:r>
      <w:r>
        <w:rPr>
          <w:rFonts w:hint="eastAsia" w:ascii="宋体" w:hAnsi="宋体" w:eastAsia="宋体" w:cs="宋体"/>
          <w:spacing w:val="-4"/>
          <w:sz w:val="21"/>
          <w:szCs w:val="21"/>
        </w:rPr>
        <w:t>书实施政府优先采购。优先采购的具体规定见第四章《评标程序、评</w:t>
      </w:r>
      <w:r>
        <w:rPr>
          <w:rFonts w:hint="eastAsia" w:ascii="宋体" w:hAnsi="宋体" w:eastAsia="宋体" w:cs="宋体"/>
          <w:spacing w:val="-12"/>
          <w:w w:val="98"/>
          <w:sz w:val="21"/>
          <w:szCs w:val="21"/>
        </w:rPr>
        <w:t>标方法和评标标准》（如涉及）。</w:t>
      </w:r>
    </w:p>
    <w:p w14:paraId="1869DA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5.4正版软件</w:t>
      </w:r>
    </w:p>
    <w:p w14:paraId="04D4B31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5.4.1各级政府部门在购置计算机办公设备时，必须采购预装正版操作系统</w:t>
      </w:r>
      <w:r>
        <w:rPr>
          <w:rFonts w:hint="eastAsia" w:ascii="宋体" w:hAnsi="宋体" w:eastAsia="宋体" w:cs="宋体"/>
          <w:spacing w:val="-3"/>
          <w:sz w:val="21"/>
          <w:szCs w:val="21"/>
        </w:rPr>
        <w:t>软件的计算机产品，相关规定依据《国家版权局、信息产</w:t>
      </w:r>
      <w:r>
        <w:rPr>
          <w:rFonts w:hint="eastAsia" w:ascii="宋体" w:hAnsi="宋体" w:eastAsia="宋体" w:cs="宋体"/>
          <w:spacing w:val="-4"/>
          <w:sz w:val="21"/>
          <w:szCs w:val="21"/>
        </w:rPr>
        <w:t>业部、财政</w:t>
      </w:r>
      <w:r>
        <w:rPr>
          <w:rFonts w:hint="eastAsia" w:ascii="宋体" w:hAnsi="宋体" w:eastAsia="宋体" w:cs="宋体"/>
          <w:spacing w:val="-3"/>
          <w:sz w:val="21"/>
          <w:szCs w:val="21"/>
        </w:rPr>
        <w:t>部、国务院机关事务管理局关于政府部门购置计算机办公</w:t>
      </w:r>
      <w:r>
        <w:rPr>
          <w:rFonts w:hint="eastAsia" w:ascii="宋体" w:hAnsi="宋体" w:eastAsia="宋体" w:cs="宋体"/>
          <w:spacing w:val="-4"/>
          <w:sz w:val="21"/>
          <w:szCs w:val="21"/>
        </w:rPr>
        <w:t>设备必须采购已预装正版操作系统软件产品的通知》（国权联〔20</w:t>
      </w:r>
      <w:r>
        <w:rPr>
          <w:rFonts w:hint="eastAsia" w:ascii="宋体" w:hAnsi="宋体" w:eastAsia="宋体" w:cs="宋体"/>
          <w:spacing w:val="-5"/>
          <w:sz w:val="21"/>
          <w:szCs w:val="21"/>
        </w:rPr>
        <w:t>06〕1号）、</w:t>
      </w:r>
      <w:r>
        <w:rPr>
          <w:rFonts w:hint="eastAsia" w:ascii="宋体" w:hAnsi="宋体" w:eastAsia="宋体" w:cs="宋体"/>
          <w:spacing w:val="1"/>
          <w:sz w:val="21"/>
          <w:szCs w:val="21"/>
        </w:rPr>
        <w:t>《国务院办公厅关于进一步做好政府机关使用正版软件工作的通知》</w:t>
      </w:r>
      <w:r>
        <w:rPr>
          <w:rFonts w:hint="eastAsia" w:ascii="宋体" w:hAnsi="宋体" w:eastAsia="宋体" w:cs="宋体"/>
          <w:spacing w:val="-4"/>
          <w:sz w:val="21"/>
          <w:szCs w:val="21"/>
        </w:rPr>
        <w:t>（国办发〔2010〕47号）、《财政部关于进一步做好政府机关使用正版软件工作的通知》（财预〔2010〕536号）。</w:t>
      </w:r>
    </w:p>
    <w:p w14:paraId="387172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5.5网络安全专用产品</w:t>
      </w:r>
    </w:p>
    <w:p w14:paraId="032201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left"/>
        <w:textAlignment w:val="baseline"/>
        <w:rPr>
          <w:rFonts w:hint="eastAsia" w:ascii="宋体" w:hAnsi="宋体" w:eastAsia="宋体" w:cs="宋体"/>
          <w:sz w:val="21"/>
          <w:szCs w:val="21"/>
        </w:rPr>
      </w:pPr>
      <w:r>
        <w:rPr>
          <w:rFonts w:hint="eastAsia" w:ascii="宋体" w:hAnsi="宋体" w:eastAsia="宋体" w:cs="宋体"/>
          <w:spacing w:val="-4"/>
          <w:sz w:val="21"/>
          <w:szCs w:val="21"/>
        </w:rPr>
        <w:t>5.5.1根据《关于调整网络安全专用产品安全管理有关事项的公告》（2023</w:t>
      </w:r>
      <w:r>
        <w:rPr>
          <w:rFonts w:hint="eastAsia" w:ascii="宋体" w:hAnsi="宋体" w:eastAsia="宋体" w:cs="宋体"/>
          <w:spacing w:val="-1"/>
          <w:sz w:val="21"/>
          <w:szCs w:val="21"/>
        </w:rPr>
        <w:t>年第1号</w:t>
      </w:r>
      <w:r>
        <w:rPr>
          <w:rFonts w:hint="eastAsia" w:ascii="宋体" w:hAnsi="宋体" w:eastAsia="宋体" w:cs="宋体"/>
          <w:spacing w:val="-58"/>
          <w:sz w:val="21"/>
          <w:szCs w:val="21"/>
        </w:rPr>
        <w:t>），</w:t>
      </w:r>
      <w:r>
        <w:rPr>
          <w:rFonts w:hint="eastAsia" w:ascii="宋体" w:hAnsi="宋体" w:eastAsia="宋体" w:cs="宋体"/>
          <w:spacing w:val="-1"/>
          <w:sz w:val="21"/>
          <w:szCs w:val="21"/>
        </w:rPr>
        <w:t>所提供产品属于列入《网络关键设备和网络安全专用产</w:t>
      </w:r>
      <w:r>
        <w:rPr>
          <w:rFonts w:hint="eastAsia" w:ascii="宋体" w:hAnsi="宋体" w:eastAsia="宋体" w:cs="宋体"/>
          <w:spacing w:val="-4"/>
          <w:sz w:val="21"/>
          <w:szCs w:val="21"/>
        </w:rPr>
        <w:t>品目录》的网络安全专用产品时，应当按照《信息安全技术网络安全专用产品安全技术要求》等相关国家标准的强制性要求，由具备资格</w:t>
      </w:r>
      <w:r>
        <w:rPr>
          <w:rFonts w:hint="eastAsia" w:ascii="宋体" w:hAnsi="宋体" w:eastAsia="宋体" w:cs="宋体"/>
          <w:spacing w:val="-1"/>
          <w:sz w:val="21"/>
          <w:szCs w:val="21"/>
        </w:rPr>
        <w:t>的机构安全认证合格或者安全检测符合要求。</w:t>
      </w:r>
    </w:p>
    <w:p w14:paraId="004078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5.</w:t>
      </w:r>
      <w:r>
        <w:rPr>
          <w:rFonts w:hint="eastAsia" w:ascii="宋体" w:hAnsi="宋体" w:eastAsia="宋体" w:cs="宋体"/>
          <w:spacing w:val="2"/>
          <w:sz w:val="21"/>
          <w:szCs w:val="21"/>
          <w:lang w:val="en-US" w:eastAsia="zh-CN"/>
        </w:rPr>
        <w:t>6</w:t>
      </w:r>
      <w:r>
        <w:rPr>
          <w:rFonts w:hint="eastAsia" w:ascii="宋体" w:hAnsi="宋体" w:eastAsia="宋体" w:cs="宋体"/>
          <w:spacing w:val="2"/>
          <w:sz w:val="21"/>
          <w:szCs w:val="21"/>
        </w:rPr>
        <w:t>采购需求标准</w:t>
      </w:r>
    </w:p>
    <w:p w14:paraId="540B606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5.</w:t>
      </w:r>
      <w:r>
        <w:rPr>
          <w:rFonts w:hint="eastAsia" w:ascii="宋体" w:hAnsi="宋体" w:eastAsia="宋体" w:cs="宋体"/>
          <w:spacing w:val="3"/>
          <w:sz w:val="21"/>
          <w:szCs w:val="21"/>
          <w:lang w:val="en-US" w:eastAsia="zh-CN"/>
        </w:rPr>
        <w:t>6</w:t>
      </w:r>
      <w:r>
        <w:rPr>
          <w:rFonts w:hint="eastAsia" w:ascii="宋体" w:hAnsi="宋体" w:eastAsia="宋体" w:cs="宋体"/>
          <w:spacing w:val="3"/>
          <w:sz w:val="21"/>
          <w:szCs w:val="21"/>
        </w:rPr>
        <w:t>.1商品包装、快递包装政府采购需求标</w:t>
      </w:r>
      <w:r>
        <w:rPr>
          <w:rFonts w:hint="eastAsia" w:ascii="宋体" w:hAnsi="宋体" w:eastAsia="宋体" w:cs="宋体"/>
          <w:spacing w:val="2"/>
          <w:sz w:val="21"/>
          <w:szCs w:val="21"/>
        </w:rPr>
        <w:t>准（试行）</w:t>
      </w:r>
    </w:p>
    <w:p w14:paraId="7300F96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left"/>
        <w:textAlignment w:val="baseline"/>
        <w:rPr>
          <w:rFonts w:hint="eastAsia" w:ascii="宋体" w:hAnsi="宋体" w:eastAsia="宋体" w:cs="宋体"/>
          <w:sz w:val="21"/>
          <w:szCs w:val="21"/>
        </w:rPr>
      </w:pPr>
      <w:r>
        <w:rPr>
          <w:rFonts w:hint="eastAsia" w:ascii="宋体" w:hAnsi="宋体" w:eastAsia="宋体" w:cs="宋体"/>
          <w:spacing w:val="-4"/>
          <w:sz w:val="21"/>
          <w:szCs w:val="21"/>
        </w:rPr>
        <w:t>为助力打好污染防治攻坚战，推广使用绿色包装，根据</w:t>
      </w:r>
      <w:r>
        <w:rPr>
          <w:rFonts w:hint="eastAsia" w:ascii="宋体" w:hAnsi="宋体" w:eastAsia="宋体" w:cs="宋体"/>
          <w:spacing w:val="-5"/>
          <w:sz w:val="21"/>
          <w:szCs w:val="21"/>
        </w:rPr>
        <w:t>财政部关于印</w:t>
      </w:r>
      <w:r>
        <w:rPr>
          <w:rFonts w:hint="eastAsia" w:ascii="宋体" w:hAnsi="宋体" w:eastAsia="宋体" w:cs="宋体"/>
          <w:spacing w:val="-12"/>
          <w:sz w:val="21"/>
          <w:szCs w:val="21"/>
        </w:rPr>
        <w:t>发《商品包装政府采购需求标准（试行）》、《快递包装政府采购需求</w:t>
      </w:r>
      <w:r>
        <w:rPr>
          <w:rFonts w:hint="eastAsia" w:ascii="宋体" w:hAnsi="宋体" w:eastAsia="宋体" w:cs="宋体"/>
          <w:spacing w:val="-1"/>
          <w:sz w:val="21"/>
          <w:szCs w:val="21"/>
        </w:rPr>
        <w:t>标准（试行）》的通知（财办库〔2020〕123号</w:t>
      </w:r>
      <w:r>
        <w:rPr>
          <w:rFonts w:hint="eastAsia" w:ascii="宋体" w:hAnsi="宋体" w:eastAsia="宋体" w:cs="宋体"/>
          <w:spacing w:val="-55"/>
          <w:w w:val="97"/>
          <w:sz w:val="21"/>
          <w:szCs w:val="21"/>
        </w:rPr>
        <w:t>），</w:t>
      </w:r>
      <w:r>
        <w:rPr>
          <w:rFonts w:hint="eastAsia" w:ascii="宋体" w:hAnsi="宋体" w:eastAsia="宋体" w:cs="宋体"/>
          <w:spacing w:val="-1"/>
          <w:sz w:val="21"/>
          <w:szCs w:val="21"/>
        </w:rPr>
        <w:t>本项目如涉及商</w:t>
      </w:r>
      <w:r>
        <w:rPr>
          <w:rFonts w:hint="eastAsia" w:ascii="宋体" w:hAnsi="宋体" w:eastAsia="宋体" w:cs="宋体"/>
          <w:spacing w:val="-4"/>
          <w:sz w:val="21"/>
          <w:szCs w:val="21"/>
        </w:rPr>
        <w:t>品包装和快递包装的，则其具体要求见第五章《采购需求》。</w:t>
      </w:r>
    </w:p>
    <w:p w14:paraId="674F2B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宋体" w:hAnsi="宋体" w:eastAsia="宋体" w:cs="宋体"/>
          <w:sz w:val="21"/>
          <w:szCs w:val="21"/>
        </w:rPr>
      </w:pPr>
      <w:r>
        <w:rPr>
          <w:rFonts w:hint="eastAsia" w:ascii="宋体" w:hAnsi="宋体" w:eastAsia="宋体" w:cs="宋体"/>
          <w:spacing w:val="4"/>
          <w:sz w:val="21"/>
          <w:szCs w:val="21"/>
        </w:rPr>
        <w:t>5.</w:t>
      </w:r>
      <w:r>
        <w:rPr>
          <w:rFonts w:hint="eastAsia" w:ascii="宋体" w:hAnsi="宋体" w:eastAsia="宋体" w:cs="宋体"/>
          <w:spacing w:val="4"/>
          <w:sz w:val="21"/>
          <w:szCs w:val="21"/>
          <w:lang w:val="en-US" w:eastAsia="zh-CN"/>
        </w:rPr>
        <w:t>6</w:t>
      </w:r>
      <w:r>
        <w:rPr>
          <w:rFonts w:hint="eastAsia" w:ascii="宋体" w:hAnsi="宋体" w:eastAsia="宋体" w:cs="宋体"/>
          <w:spacing w:val="4"/>
          <w:sz w:val="21"/>
          <w:szCs w:val="21"/>
        </w:rPr>
        <w:t>.2其他政府采购需求标准</w:t>
      </w:r>
    </w:p>
    <w:p w14:paraId="336FBF9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jc w:val="left"/>
        <w:textAlignment w:val="baseline"/>
        <w:rPr>
          <w:rFonts w:hint="eastAsia" w:ascii="宋体" w:hAnsi="宋体" w:eastAsia="宋体" w:cs="宋体"/>
          <w:sz w:val="21"/>
          <w:szCs w:val="21"/>
        </w:rPr>
      </w:pPr>
      <w:r>
        <w:rPr>
          <w:rFonts w:hint="eastAsia" w:ascii="宋体" w:hAnsi="宋体" w:eastAsia="宋体" w:cs="宋体"/>
          <w:spacing w:val="-4"/>
          <w:sz w:val="21"/>
          <w:szCs w:val="21"/>
        </w:rPr>
        <w:t>为贯彻落实《深化政府采购制度改革方案》有关要求，推动政府采购需求标准建设，财政部门会同有关部门制定发布的其他政府采购需求标准，本项目如涉及，则具体要求见第五章《采购需求</w:t>
      </w:r>
      <w:r>
        <w:rPr>
          <w:rFonts w:hint="eastAsia" w:ascii="宋体" w:hAnsi="宋体" w:eastAsia="宋体" w:cs="宋体"/>
          <w:spacing w:val="-5"/>
          <w:sz w:val="21"/>
          <w:szCs w:val="21"/>
        </w:rPr>
        <w:t>》。</w:t>
      </w:r>
    </w:p>
    <w:p w14:paraId="7E42550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38" w:name="_Toc11830"/>
      <w:r>
        <w:rPr>
          <w:rFonts w:hint="eastAsia" w:ascii="宋体" w:hAnsi="宋体" w:eastAsia="宋体" w:cs="宋体"/>
          <w:b/>
          <w:bCs/>
          <w:spacing w:val="-1"/>
          <w:sz w:val="21"/>
          <w:szCs w:val="21"/>
        </w:rPr>
        <w:t>6</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投标费用</w:t>
      </w:r>
      <w:bookmarkEnd w:id="38"/>
    </w:p>
    <w:p w14:paraId="225D894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6.1投标人应自行承担所有与准备和参</w:t>
      </w:r>
      <w:r>
        <w:rPr>
          <w:rFonts w:hint="eastAsia" w:ascii="宋体" w:hAnsi="宋体" w:eastAsia="宋体" w:cs="宋体"/>
          <w:spacing w:val="-2"/>
          <w:sz w:val="21"/>
          <w:szCs w:val="21"/>
        </w:rPr>
        <w:t>加投标有关的费用，无论投标的结果如何，</w:t>
      </w:r>
      <w:r>
        <w:rPr>
          <w:rFonts w:hint="eastAsia" w:ascii="宋体" w:hAnsi="宋体" w:eastAsia="宋体" w:cs="宋体"/>
          <w:sz w:val="21"/>
          <w:szCs w:val="21"/>
        </w:rPr>
        <w:t>采购人或采购代理机构在任何情况下均无承担这些费用的</w:t>
      </w:r>
      <w:r>
        <w:rPr>
          <w:rFonts w:hint="eastAsia" w:ascii="宋体" w:hAnsi="宋体" w:eastAsia="宋体" w:cs="宋体"/>
          <w:spacing w:val="-1"/>
          <w:sz w:val="21"/>
          <w:szCs w:val="21"/>
        </w:rPr>
        <w:t>义务和责任。</w:t>
      </w:r>
    </w:p>
    <w:p w14:paraId="65A93C1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spacing w:val="-1"/>
          <w:sz w:val="21"/>
          <w:szCs w:val="21"/>
        </w:rPr>
      </w:pPr>
      <w:bookmarkStart w:id="39" w:name="_Toc28469"/>
      <w:bookmarkStart w:id="40" w:name="_Toc15119"/>
      <w:r>
        <w:rPr>
          <w:rFonts w:hint="eastAsia" w:ascii="宋体" w:hAnsi="宋体" w:eastAsia="宋体" w:cs="宋体"/>
          <w:b/>
          <w:bCs/>
          <w:spacing w:val="-1"/>
          <w:sz w:val="21"/>
          <w:szCs w:val="21"/>
        </w:rPr>
        <w:t>二</w:t>
      </w:r>
      <w:r>
        <w:rPr>
          <w:rFonts w:hint="eastAsia" w:ascii="宋体" w:hAnsi="宋体" w:eastAsia="宋体" w:cs="宋体"/>
          <w:b/>
          <w:bCs/>
          <w:spacing w:val="-1"/>
          <w:sz w:val="21"/>
          <w:szCs w:val="21"/>
          <w:lang w:eastAsia="zh-CN"/>
        </w:rPr>
        <w:t>、</w:t>
      </w:r>
      <w:r>
        <w:rPr>
          <w:rFonts w:hint="eastAsia" w:ascii="宋体" w:hAnsi="宋体" w:eastAsia="宋体" w:cs="宋体"/>
          <w:b/>
          <w:bCs/>
          <w:spacing w:val="-1"/>
          <w:sz w:val="21"/>
          <w:szCs w:val="21"/>
        </w:rPr>
        <w:t>招标文件</w:t>
      </w:r>
      <w:bookmarkEnd w:id="39"/>
      <w:bookmarkEnd w:id="40"/>
    </w:p>
    <w:p w14:paraId="39B8353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41" w:name="_Toc19266"/>
      <w:r>
        <w:rPr>
          <w:rFonts w:hint="eastAsia" w:ascii="宋体" w:hAnsi="宋体" w:eastAsia="宋体" w:cs="宋体"/>
          <w:b/>
          <w:bCs/>
          <w:spacing w:val="-1"/>
          <w:sz w:val="21"/>
          <w:szCs w:val="21"/>
        </w:rPr>
        <w:t>7</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招标文件构成</w:t>
      </w:r>
      <w:bookmarkEnd w:id="41"/>
    </w:p>
    <w:p w14:paraId="25BF491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7.1招标文件包括以下部分：</w:t>
      </w:r>
    </w:p>
    <w:p w14:paraId="31978F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第一章</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投标邀请</w:t>
      </w:r>
    </w:p>
    <w:p w14:paraId="587C96D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第二章</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投标人须知</w:t>
      </w:r>
    </w:p>
    <w:p w14:paraId="168B06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第三章</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资格审查</w:t>
      </w:r>
    </w:p>
    <w:p w14:paraId="4E6A36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第四章</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评标程序、评标方法和评标标准</w:t>
      </w:r>
    </w:p>
    <w:p w14:paraId="0F8E531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第五章</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采购需求</w:t>
      </w:r>
    </w:p>
    <w:p w14:paraId="2EFB95B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第六章</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拟签订的合同文本</w:t>
      </w:r>
    </w:p>
    <w:p w14:paraId="1E5F758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第七章</w:t>
      </w:r>
      <w:r>
        <w:rPr>
          <w:rFonts w:hint="eastAsia" w:ascii="宋体" w:hAnsi="宋体" w:eastAsia="宋体" w:cs="宋体"/>
          <w:spacing w:val="-1"/>
          <w:sz w:val="21"/>
          <w:szCs w:val="21"/>
          <w:lang w:val="en-US" w:eastAsia="zh-CN"/>
        </w:rPr>
        <w:t xml:space="preserve"> </w:t>
      </w:r>
      <w:r>
        <w:rPr>
          <w:rFonts w:hint="eastAsia" w:ascii="宋体" w:hAnsi="宋体" w:eastAsia="宋体" w:cs="宋体"/>
          <w:spacing w:val="-1"/>
          <w:sz w:val="21"/>
          <w:szCs w:val="21"/>
        </w:rPr>
        <w:t>投标文件格式</w:t>
      </w:r>
    </w:p>
    <w:p w14:paraId="2DB308B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7.2投标人应认真阅读招标文件的全部内容。投标人应按照</w:t>
      </w:r>
      <w:r>
        <w:rPr>
          <w:rFonts w:hint="eastAsia" w:ascii="宋体" w:hAnsi="宋体" w:eastAsia="宋体" w:cs="宋体"/>
          <w:spacing w:val="1"/>
          <w:sz w:val="21"/>
          <w:szCs w:val="21"/>
        </w:rPr>
        <w:t>招标文件要求提交投</w:t>
      </w:r>
      <w:r>
        <w:rPr>
          <w:rFonts w:hint="eastAsia" w:ascii="宋体" w:hAnsi="宋体" w:eastAsia="宋体" w:cs="宋体"/>
          <w:spacing w:val="2"/>
          <w:sz w:val="21"/>
          <w:szCs w:val="21"/>
        </w:rPr>
        <w:t>标文件并保证所提供的全部资料的真实性，并对招标文件做出实质性响应，</w:t>
      </w:r>
      <w:r>
        <w:rPr>
          <w:rFonts w:hint="eastAsia" w:ascii="宋体" w:hAnsi="宋体" w:eastAsia="宋体" w:cs="宋体"/>
          <w:spacing w:val="-1"/>
          <w:sz w:val="21"/>
          <w:szCs w:val="21"/>
        </w:rPr>
        <w:t>否则</w:t>
      </w:r>
      <w:r>
        <w:rPr>
          <w:rFonts w:hint="eastAsia" w:ascii="宋体" w:hAnsi="宋体" w:eastAsia="宋体" w:cs="宋体"/>
          <w:b/>
          <w:bCs/>
          <w:spacing w:val="-1"/>
          <w:sz w:val="21"/>
          <w:szCs w:val="21"/>
        </w:rPr>
        <w:t>投标无效</w:t>
      </w:r>
      <w:r>
        <w:rPr>
          <w:rFonts w:hint="eastAsia" w:ascii="宋体" w:hAnsi="宋体" w:eastAsia="宋体" w:cs="宋体"/>
          <w:spacing w:val="-1"/>
          <w:sz w:val="21"/>
          <w:szCs w:val="21"/>
        </w:rPr>
        <w:t>。</w:t>
      </w:r>
    </w:p>
    <w:p w14:paraId="22C99A0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42" w:name="_Toc9898"/>
      <w:r>
        <w:rPr>
          <w:rFonts w:hint="eastAsia" w:ascii="宋体" w:hAnsi="宋体" w:eastAsia="宋体" w:cs="宋体"/>
          <w:b/>
          <w:bCs/>
          <w:spacing w:val="-1"/>
          <w:sz w:val="21"/>
          <w:szCs w:val="21"/>
        </w:rPr>
        <w:t>8</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对招标文件的澄清或修改</w:t>
      </w:r>
      <w:bookmarkEnd w:id="42"/>
    </w:p>
    <w:p w14:paraId="22D872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8.1采购人或采购代理机构对已发出的招标</w:t>
      </w:r>
      <w:r>
        <w:rPr>
          <w:rFonts w:hint="eastAsia" w:ascii="宋体" w:hAnsi="宋体" w:eastAsia="宋体" w:cs="宋体"/>
          <w:spacing w:val="2"/>
          <w:sz w:val="21"/>
          <w:szCs w:val="21"/>
        </w:rPr>
        <w:t>文件进行必要澄清或者修改的，将在原公告发布媒体上发布更正公告，并以书面形式通知所有获取招标文件的潜</w:t>
      </w:r>
      <w:r>
        <w:rPr>
          <w:rFonts w:hint="eastAsia" w:ascii="宋体" w:hAnsi="宋体" w:eastAsia="宋体" w:cs="宋体"/>
          <w:spacing w:val="-2"/>
          <w:sz w:val="21"/>
          <w:szCs w:val="21"/>
        </w:rPr>
        <w:t>在投标人。</w:t>
      </w:r>
    </w:p>
    <w:p w14:paraId="0A5E028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8.2上述书面通知，按照获取招标文件的潜在投标人提供的联系方式发出，因提</w:t>
      </w:r>
      <w:r>
        <w:rPr>
          <w:rFonts w:hint="eastAsia" w:ascii="宋体" w:hAnsi="宋体" w:eastAsia="宋体" w:cs="宋体"/>
          <w:spacing w:val="1"/>
          <w:sz w:val="21"/>
          <w:szCs w:val="21"/>
        </w:rPr>
        <w:t>供的信息有误导致通知延迟或无法通知的，采购人</w:t>
      </w:r>
      <w:r>
        <w:rPr>
          <w:rFonts w:hint="eastAsia" w:ascii="宋体" w:hAnsi="宋体" w:eastAsia="宋体" w:cs="宋体"/>
          <w:sz w:val="21"/>
          <w:szCs w:val="21"/>
        </w:rPr>
        <w:t>或采购代理机构不承担责</w:t>
      </w:r>
      <w:r>
        <w:rPr>
          <w:rFonts w:hint="eastAsia" w:ascii="宋体" w:hAnsi="宋体" w:eastAsia="宋体" w:cs="宋体"/>
          <w:spacing w:val="-2"/>
          <w:sz w:val="21"/>
          <w:szCs w:val="21"/>
        </w:rPr>
        <w:t>任。</w:t>
      </w:r>
    </w:p>
    <w:p w14:paraId="76118F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8.3澄清或者修改的内容为招标文件的组成</w:t>
      </w:r>
      <w:r>
        <w:rPr>
          <w:rFonts w:hint="eastAsia" w:ascii="宋体" w:hAnsi="宋体" w:eastAsia="宋体" w:cs="宋体"/>
          <w:spacing w:val="2"/>
          <w:sz w:val="21"/>
          <w:szCs w:val="21"/>
        </w:rPr>
        <w:t>部分，并对所有获取招标文件的潜在投标人具有约束力。澄清或者修改的内容可能影响投标文件编制的，将在投</w:t>
      </w:r>
      <w:r>
        <w:rPr>
          <w:rFonts w:hint="eastAsia" w:ascii="宋体" w:hAnsi="宋体" w:eastAsia="宋体" w:cs="宋体"/>
          <w:spacing w:val="-4"/>
          <w:sz w:val="21"/>
          <w:szCs w:val="21"/>
        </w:rPr>
        <w:t>标截止时间至少15日前，以书面形式通知所有获取招标文件的潜在投标人；</w:t>
      </w:r>
      <w:r>
        <w:rPr>
          <w:rFonts w:hint="eastAsia" w:ascii="宋体" w:hAnsi="宋体" w:eastAsia="宋体" w:cs="宋体"/>
          <w:spacing w:val="-2"/>
          <w:sz w:val="21"/>
          <w:szCs w:val="21"/>
        </w:rPr>
        <w:t>不足15日的，将顺延提交投标文件的截止时间和开标时间。</w:t>
      </w:r>
    </w:p>
    <w:p w14:paraId="1E3AC0A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spacing w:val="-1"/>
          <w:sz w:val="21"/>
          <w:szCs w:val="21"/>
        </w:rPr>
      </w:pPr>
      <w:bookmarkStart w:id="43" w:name="_Toc8122"/>
      <w:bookmarkStart w:id="44" w:name="_Toc23913"/>
      <w:r>
        <w:rPr>
          <w:rFonts w:hint="eastAsia" w:ascii="宋体" w:hAnsi="宋体" w:eastAsia="宋体" w:cs="宋体"/>
          <w:b/>
          <w:bCs/>
          <w:spacing w:val="-1"/>
          <w:sz w:val="21"/>
          <w:szCs w:val="21"/>
        </w:rPr>
        <w:t>三</w:t>
      </w:r>
      <w:r>
        <w:rPr>
          <w:rFonts w:hint="eastAsia" w:ascii="宋体" w:hAnsi="宋体" w:eastAsia="宋体" w:cs="宋体"/>
          <w:b/>
          <w:bCs/>
          <w:spacing w:val="-1"/>
          <w:sz w:val="21"/>
          <w:szCs w:val="21"/>
          <w:lang w:eastAsia="zh-CN"/>
        </w:rPr>
        <w:t>、</w:t>
      </w:r>
      <w:r>
        <w:rPr>
          <w:rFonts w:hint="eastAsia" w:ascii="宋体" w:hAnsi="宋体" w:eastAsia="宋体" w:cs="宋体"/>
          <w:b/>
          <w:bCs/>
          <w:spacing w:val="-1"/>
          <w:sz w:val="21"/>
          <w:szCs w:val="21"/>
        </w:rPr>
        <w:t>投标文件的编制</w:t>
      </w:r>
      <w:bookmarkEnd w:id="43"/>
      <w:bookmarkEnd w:id="44"/>
    </w:p>
    <w:p w14:paraId="5EF7981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45" w:name="_Toc17638"/>
      <w:r>
        <w:rPr>
          <w:rFonts w:hint="eastAsia" w:ascii="宋体" w:hAnsi="宋体" w:eastAsia="宋体" w:cs="宋体"/>
          <w:b/>
          <w:bCs/>
          <w:spacing w:val="-1"/>
          <w:sz w:val="21"/>
          <w:szCs w:val="21"/>
        </w:rPr>
        <w:t>9</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投标范围、投标文件中计量单位的使用及投标语言</w:t>
      </w:r>
      <w:bookmarkEnd w:id="45"/>
    </w:p>
    <w:p w14:paraId="1CD05A3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9.1本项目如划分采购包，投</w:t>
      </w:r>
      <w:r>
        <w:rPr>
          <w:rFonts w:hint="eastAsia" w:ascii="宋体" w:hAnsi="宋体" w:eastAsia="宋体" w:cs="宋体"/>
          <w:sz w:val="21"/>
          <w:szCs w:val="21"/>
        </w:rPr>
        <w:t>标人可以对本项目的其中一个采购包进行投标，也</w:t>
      </w:r>
      <w:r>
        <w:rPr>
          <w:rFonts w:hint="eastAsia" w:ascii="宋体" w:hAnsi="宋体" w:eastAsia="宋体" w:cs="宋体"/>
          <w:spacing w:val="1"/>
          <w:sz w:val="21"/>
          <w:szCs w:val="21"/>
        </w:rPr>
        <w:t>可同时对多个采购包进行投标。投标人应当对所投采购包对应第五章《采购</w:t>
      </w:r>
      <w:r>
        <w:rPr>
          <w:rFonts w:hint="eastAsia" w:ascii="宋体" w:hAnsi="宋体" w:eastAsia="宋体" w:cs="宋体"/>
          <w:spacing w:val="-1"/>
          <w:sz w:val="21"/>
          <w:szCs w:val="21"/>
        </w:rPr>
        <w:t>需求》所列的全部内容进行投标，不得将一个采购包中的内容拆分投标，否则其对该采购包的投标将被认定为</w:t>
      </w:r>
      <w:r>
        <w:rPr>
          <w:rFonts w:hint="eastAsia" w:ascii="宋体" w:hAnsi="宋体" w:eastAsia="宋体" w:cs="宋体"/>
          <w:b/>
          <w:bCs/>
          <w:spacing w:val="-1"/>
          <w:sz w:val="21"/>
          <w:szCs w:val="21"/>
        </w:rPr>
        <w:t>无效投标</w:t>
      </w:r>
      <w:r>
        <w:rPr>
          <w:rFonts w:hint="eastAsia" w:ascii="宋体" w:hAnsi="宋体" w:eastAsia="宋体" w:cs="宋体"/>
          <w:spacing w:val="-1"/>
          <w:sz w:val="21"/>
          <w:szCs w:val="21"/>
        </w:rPr>
        <w:t>。</w:t>
      </w:r>
    </w:p>
    <w:p w14:paraId="2F872A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9.2除招标文件有特殊要求外，本项目投标所</w:t>
      </w:r>
      <w:r>
        <w:rPr>
          <w:rFonts w:hint="eastAsia" w:ascii="宋体" w:hAnsi="宋体" w:eastAsia="宋体" w:cs="宋体"/>
          <w:spacing w:val="2"/>
          <w:sz w:val="21"/>
          <w:szCs w:val="21"/>
        </w:rPr>
        <w:t>使用的计量单位，应采用中华人民</w:t>
      </w:r>
      <w:r>
        <w:rPr>
          <w:rFonts w:hint="eastAsia" w:ascii="宋体" w:hAnsi="宋体" w:eastAsia="宋体" w:cs="宋体"/>
          <w:spacing w:val="-1"/>
          <w:sz w:val="21"/>
          <w:szCs w:val="21"/>
        </w:rPr>
        <w:t>共和国法定计量单位。</w:t>
      </w:r>
    </w:p>
    <w:p w14:paraId="17BC14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9.3除专用术语外，投标文件及来往</w:t>
      </w:r>
      <w:r>
        <w:rPr>
          <w:rFonts w:hint="eastAsia" w:ascii="宋体" w:hAnsi="宋体" w:eastAsia="宋体" w:cs="宋体"/>
          <w:spacing w:val="1"/>
          <w:sz w:val="21"/>
          <w:szCs w:val="21"/>
        </w:rPr>
        <w:t>函电均应使用中文书写。必要时专用术语应附有中文解释。投标人提交的支持资料和已印</w:t>
      </w:r>
      <w:r>
        <w:rPr>
          <w:rFonts w:hint="eastAsia" w:ascii="宋体" w:hAnsi="宋体" w:eastAsia="宋体" w:cs="宋体"/>
          <w:sz w:val="21"/>
          <w:szCs w:val="21"/>
        </w:rPr>
        <w:t>制的文献可以用外文，但相应内容应附有中文翻译本，在解释投标文件时以中文翻译本为准</w:t>
      </w:r>
      <w:r>
        <w:rPr>
          <w:rFonts w:hint="eastAsia" w:ascii="宋体" w:hAnsi="宋体" w:eastAsia="宋体" w:cs="宋体"/>
          <w:spacing w:val="-1"/>
          <w:sz w:val="21"/>
          <w:szCs w:val="21"/>
        </w:rPr>
        <w:t>。未附中文翻</w:t>
      </w:r>
      <w:r>
        <w:rPr>
          <w:rFonts w:hint="eastAsia" w:ascii="宋体" w:hAnsi="宋体" w:eastAsia="宋体" w:cs="宋体"/>
          <w:spacing w:val="2"/>
          <w:sz w:val="21"/>
          <w:szCs w:val="21"/>
        </w:rPr>
        <w:t>译本或翻译本中文内容明显与外文内容不一致的，其不利后果由投标人自行</w:t>
      </w:r>
      <w:r>
        <w:rPr>
          <w:rFonts w:hint="eastAsia" w:ascii="宋体" w:hAnsi="宋体" w:eastAsia="宋体" w:cs="宋体"/>
          <w:spacing w:val="-1"/>
          <w:sz w:val="21"/>
          <w:szCs w:val="21"/>
        </w:rPr>
        <w:t>承担。</w:t>
      </w:r>
    </w:p>
    <w:p w14:paraId="04304A5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46" w:name="_Toc19902"/>
      <w:r>
        <w:rPr>
          <w:rFonts w:hint="eastAsia" w:ascii="宋体" w:hAnsi="宋体" w:eastAsia="宋体" w:cs="宋体"/>
          <w:b/>
          <w:bCs/>
          <w:spacing w:val="-1"/>
          <w:sz w:val="21"/>
          <w:szCs w:val="21"/>
        </w:rPr>
        <w:t>10</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投标文件构成</w:t>
      </w:r>
      <w:bookmarkEnd w:id="46"/>
    </w:p>
    <w:p w14:paraId="04618DF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10.1投标人应当按照招标文件的要求编制投标文件。投标文件应由《资格证明文</w:t>
      </w:r>
      <w:r>
        <w:rPr>
          <w:rFonts w:hint="eastAsia" w:ascii="宋体" w:hAnsi="宋体" w:eastAsia="宋体" w:cs="宋体"/>
          <w:spacing w:val="-12"/>
          <w:sz w:val="21"/>
          <w:szCs w:val="21"/>
        </w:rPr>
        <w:t>件》、《商务技术文件》两部分构成。投标文件的部分格式要求，见第七章《投</w:t>
      </w:r>
      <w:r>
        <w:rPr>
          <w:rFonts w:hint="eastAsia" w:ascii="宋体" w:hAnsi="宋体" w:eastAsia="宋体" w:cs="宋体"/>
          <w:spacing w:val="-14"/>
          <w:w w:val="99"/>
          <w:sz w:val="21"/>
          <w:szCs w:val="21"/>
        </w:rPr>
        <w:t>标文件格式》。</w:t>
      </w:r>
    </w:p>
    <w:p w14:paraId="46CB22E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10.2对于招标文件中标记了“实质性格式”文件的，投</w:t>
      </w:r>
      <w:r>
        <w:rPr>
          <w:rFonts w:hint="eastAsia" w:ascii="宋体" w:hAnsi="宋体" w:eastAsia="宋体" w:cs="宋体"/>
          <w:spacing w:val="2"/>
          <w:sz w:val="21"/>
          <w:szCs w:val="21"/>
        </w:rPr>
        <w:t>标人不得改变格式中给定的</w:t>
      </w:r>
      <w:r>
        <w:rPr>
          <w:rFonts w:hint="eastAsia" w:ascii="宋体" w:hAnsi="宋体" w:eastAsia="宋体" w:cs="宋体"/>
          <w:spacing w:val="-1"/>
          <w:sz w:val="21"/>
          <w:szCs w:val="21"/>
        </w:rPr>
        <w:t>文字所表达的含义，不得删减格式中的实质性内容，不得自行添加与格式中</w:t>
      </w:r>
      <w:r>
        <w:rPr>
          <w:rFonts w:hint="eastAsia" w:ascii="宋体" w:hAnsi="宋体" w:eastAsia="宋体" w:cs="宋体"/>
          <w:spacing w:val="1"/>
          <w:sz w:val="21"/>
          <w:szCs w:val="21"/>
        </w:rPr>
        <w:t>给定的文字内容相矛盾的内容，不得对应当填写的空格</w:t>
      </w:r>
      <w:r>
        <w:rPr>
          <w:rFonts w:hint="eastAsia" w:ascii="宋体" w:hAnsi="宋体" w:eastAsia="宋体" w:cs="宋体"/>
          <w:sz w:val="21"/>
          <w:szCs w:val="21"/>
        </w:rPr>
        <w:t>不填写或不实质性响</w:t>
      </w:r>
      <w:r>
        <w:rPr>
          <w:rFonts w:hint="eastAsia" w:ascii="宋体" w:hAnsi="宋体" w:eastAsia="宋体" w:cs="宋体"/>
          <w:spacing w:val="1"/>
          <w:sz w:val="21"/>
          <w:szCs w:val="21"/>
        </w:rPr>
        <w:t>应，否则</w:t>
      </w:r>
      <w:r>
        <w:rPr>
          <w:rFonts w:hint="eastAsia" w:ascii="宋体" w:hAnsi="宋体" w:eastAsia="宋体" w:cs="宋体"/>
          <w:b/>
          <w:bCs/>
          <w:spacing w:val="1"/>
          <w:sz w:val="21"/>
          <w:szCs w:val="21"/>
        </w:rPr>
        <w:t>投标无效</w:t>
      </w:r>
      <w:r>
        <w:rPr>
          <w:rFonts w:hint="eastAsia" w:ascii="宋体" w:hAnsi="宋体" w:eastAsia="宋体" w:cs="宋体"/>
          <w:spacing w:val="1"/>
          <w:sz w:val="21"/>
          <w:szCs w:val="21"/>
        </w:rPr>
        <w:t>。未标记“实质性格式”的文件和招标文件未提供格式的内</w:t>
      </w:r>
      <w:r>
        <w:rPr>
          <w:rFonts w:hint="eastAsia" w:ascii="宋体" w:hAnsi="宋体" w:eastAsia="宋体" w:cs="宋体"/>
          <w:spacing w:val="-4"/>
          <w:sz w:val="21"/>
          <w:szCs w:val="21"/>
        </w:rPr>
        <w:t>容，可由投标人自行编写。</w:t>
      </w:r>
    </w:p>
    <w:p w14:paraId="554AA49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10.3第四章《评标程序、评标方法和评标标准》中涉及的证明文件。</w:t>
      </w:r>
    </w:p>
    <w:p w14:paraId="27F6DBA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10.4对照第五章《采购需求》，说明所提供货物和服务已</w:t>
      </w:r>
      <w:r>
        <w:rPr>
          <w:rFonts w:hint="eastAsia" w:ascii="宋体" w:hAnsi="宋体" w:eastAsia="宋体" w:cs="宋体"/>
          <w:spacing w:val="-4"/>
          <w:sz w:val="21"/>
          <w:szCs w:val="21"/>
        </w:rPr>
        <w:t>对第五章《采购需求》做</w:t>
      </w:r>
      <w:r>
        <w:rPr>
          <w:rFonts w:hint="eastAsia" w:ascii="宋体" w:hAnsi="宋体" w:eastAsia="宋体" w:cs="宋体"/>
          <w:spacing w:val="-1"/>
          <w:sz w:val="21"/>
          <w:szCs w:val="21"/>
        </w:rPr>
        <w:t>出了响应，或申明与第五章《采购需求》的偏差和例外。如第五章</w:t>
      </w:r>
      <w:r>
        <w:rPr>
          <w:rFonts w:hint="eastAsia" w:ascii="宋体" w:hAnsi="宋体" w:eastAsia="宋体" w:cs="宋体"/>
          <w:spacing w:val="-2"/>
          <w:sz w:val="21"/>
          <w:szCs w:val="21"/>
        </w:rPr>
        <w:t>《采购需</w:t>
      </w:r>
      <w:r>
        <w:rPr>
          <w:rFonts w:hint="eastAsia" w:ascii="宋体" w:hAnsi="宋体" w:eastAsia="宋体" w:cs="宋体"/>
          <w:spacing w:val="-1"/>
          <w:sz w:val="21"/>
          <w:szCs w:val="21"/>
        </w:rPr>
        <w:t>求》中要求提供证明文件的，投标人应当按具体要求提供</w:t>
      </w:r>
      <w:r>
        <w:rPr>
          <w:rFonts w:hint="eastAsia" w:ascii="宋体" w:hAnsi="宋体" w:eastAsia="宋体" w:cs="宋体"/>
          <w:spacing w:val="-2"/>
          <w:sz w:val="21"/>
          <w:szCs w:val="21"/>
        </w:rPr>
        <w:t>证明文件。</w:t>
      </w:r>
    </w:p>
    <w:p w14:paraId="73D7D98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10.5投标人认为应附的其他材料。</w:t>
      </w:r>
    </w:p>
    <w:p w14:paraId="744201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47" w:name="_Toc3533"/>
      <w:r>
        <w:rPr>
          <w:rFonts w:hint="eastAsia" w:ascii="宋体" w:hAnsi="宋体" w:eastAsia="宋体" w:cs="宋体"/>
          <w:b/>
          <w:bCs/>
          <w:spacing w:val="-1"/>
          <w:sz w:val="21"/>
          <w:szCs w:val="21"/>
        </w:rPr>
        <w:t>11</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投标报价</w:t>
      </w:r>
      <w:bookmarkEnd w:id="47"/>
    </w:p>
    <w:p w14:paraId="2025C23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11.1所有投标均以人民币为计价货币。</w:t>
      </w:r>
    </w:p>
    <w:p w14:paraId="3BB859D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11.2投标人的报价应包括为完成本项目所发生的一切费</w:t>
      </w:r>
      <w:r>
        <w:rPr>
          <w:rFonts w:hint="eastAsia" w:ascii="宋体" w:hAnsi="宋体" w:eastAsia="宋体" w:cs="宋体"/>
          <w:spacing w:val="1"/>
          <w:sz w:val="21"/>
          <w:szCs w:val="21"/>
        </w:rPr>
        <w:t>用和税费，采购人将不再</w:t>
      </w:r>
      <w:r>
        <w:rPr>
          <w:rFonts w:hint="eastAsia" w:ascii="宋体" w:hAnsi="宋体" w:eastAsia="宋体" w:cs="宋体"/>
          <w:spacing w:val="-5"/>
          <w:sz w:val="21"/>
          <w:szCs w:val="21"/>
        </w:rPr>
        <w:t>支付报价以外的任何费用。投标人的报价应包括但不限于下列内容，《投标人</w:t>
      </w:r>
      <w:r>
        <w:rPr>
          <w:rFonts w:hint="eastAsia" w:ascii="宋体" w:hAnsi="宋体" w:eastAsia="宋体" w:cs="宋体"/>
          <w:spacing w:val="-2"/>
          <w:sz w:val="21"/>
          <w:szCs w:val="21"/>
        </w:rPr>
        <w:t>须知资料表》中有特殊规定的，从其规定。</w:t>
      </w:r>
    </w:p>
    <w:p w14:paraId="3D302AF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11.2.1投标货物及标准附件、备品备件、专用工具等的出厂价（包括已在中</w:t>
      </w:r>
      <w:r>
        <w:rPr>
          <w:rFonts w:hint="eastAsia" w:ascii="宋体" w:hAnsi="宋体" w:eastAsia="宋体" w:cs="宋体"/>
          <w:sz w:val="21"/>
          <w:szCs w:val="21"/>
        </w:rPr>
        <w:t>国国内的进口货物完税后的仓库交货价、展室交货价或货</w:t>
      </w:r>
      <w:r>
        <w:rPr>
          <w:rFonts w:hint="eastAsia" w:ascii="宋体" w:hAnsi="宋体" w:eastAsia="宋体" w:cs="宋体"/>
          <w:spacing w:val="-1"/>
          <w:sz w:val="21"/>
          <w:szCs w:val="21"/>
        </w:rPr>
        <w:t>架交货价）</w:t>
      </w:r>
      <w:r>
        <w:rPr>
          <w:rFonts w:hint="eastAsia" w:ascii="宋体" w:hAnsi="宋体" w:eastAsia="宋体" w:cs="宋体"/>
          <w:sz w:val="21"/>
          <w:szCs w:val="21"/>
        </w:rPr>
        <w:t>和运至最终目的地的运输费和保险费，安装调试、检验、</w:t>
      </w:r>
      <w:r>
        <w:rPr>
          <w:rFonts w:hint="eastAsia" w:ascii="宋体" w:hAnsi="宋体" w:eastAsia="宋体" w:cs="宋体"/>
          <w:spacing w:val="-1"/>
          <w:sz w:val="21"/>
          <w:szCs w:val="21"/>
        </w:rPr>
        <w:t>技术服务、培训、质量保证、售后服务、税费等；</w:t>
      </w:r>
    </w:p>
    <w:p w14:paraId="0AB7BC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11.2.2按照招标文件要求完成本项目的全部相关费用。</w:t>
      </w:r>
    </w:p>
    <w:p w14:paraId="30F75EF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11.3采购人不得向供应商索要或者接受其给予的赠品、回扣或者与采购无关的其</w:t>
      </w:r>
      <w:r>
        <w:rPr>
          <w:rFonts w:hint="eastAsia" w:ascii="宋体" w:hAnsi="宋体" w:eastAsia="宋体" w:cs="宋体"/>
          <w:spacing w:val="-1"/>
          <w:sz w:val="21"/>
          <w:szCs w:val="21"/>
        </w:rPr>
        <w:t>他商品、服务。</w:t>
      </w:r>
    </w:p>
    <w:p w14:paraId="4F7C3FE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11.4投标人不能提供任何有选择性或可调整的报价（招标文件另有</w:t>
      </w:r>
      <w:r>
        <w:rPr>
          <w:rFonts w:hint="eastAsia" w:ascii="宋体" w:hAnsi="宋体" w:eastAsia="宋体" w:cs="宋体"/>
          <w:sz w:val="21"/>
          <w:szCs w:val="21"/>
        </w:rPr>
        <w:t>规定的除外</w:t>
      </w:r>
      <w:r>
        <w:rPr>
          <w:rFonts w:hint="eastAsia" w:ascii="宋体" w:hAnsi="宋体" w:eastAsia="宋体" w:cs="宋体"/>
          <w:spacing w:val="-49"/>
          <w:w w:val="85"/>
          <w:sz w:val="21"/>
          <w:szCs w:val="21"/>
        </w:rPr>
        <w:t>），</w:t>
      </w:r>
      <w:r>
        <w:rPr>
          <w:rFonts w:hint="eastAsia" w:ascii="宋体" w:hAnsi="宋体" w:eastAsia="宋体" w:cs="宋体"/>
          <w:spacing w:val="-1"/>
          <w:sz w:val="21"/>
          <w:szCs w:val="21"/>
        </w:rPr>
        <w:t>否则其</w:t>
      </w:r>
      <w:r>
        <w:rPr>
          <w:rFonts w:hint="eastAsia" w:ascii="宋体" w:hAnsi="宋体" w:eastAsia="宋体" w:cs="宋体"/>
          <w:b/>
          <w:bCs/>
          <w:spacing w:val="-1"/>
          <w:sz w:val="21"/>
          <w:szCs w:val="21"/>
        </w:rPr>
        <w:t>投标无效</w:t>
      </w:r>
      <w:r>
        <w:rPr>
          <w:rFonts w:hint="eastAsia" w:ascii="宋体" w:hAnsi="宋体" w:eastAsia="宋体" w:cs="宋体"/>
          <w:spacing w:val="-1"/>
          <w:sz w:val="21"/>
          <w:szCs w:val="21"/>
        </w:rPr>
        <w:t>。</w:t>
      </w:r>
    </w:p>
    <w:p w14:paraId="132C127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lang w:eastAsia="zh-CN"/>
        </w:rPr>
      </w:pPr>
      <w:bookmarkStart w:id="48" w:name="_Toc12999"/>
      <w:r>
        <w:rPr>
          <w:rFonts w:hint="eastAsia" w:ascii="宋体" w:hAnsi="宋体" w:eastAsia="宋体" w:cs="宋体"/>
          <w:b/>
          <w:bCs/>
          <w:spacing w:val="-1"/>
          <w:sz w:val="21"/>
          <w:szCs w:val="21"/>
        </w:rPr>
        <w:t>12</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投标保证金</w:t>
      </w:r>
      <w:r>
        <w:rPr>
          <w:rFonts w:hint="eastAsia" w:ascii="宋体" w:hAnsi="宋体" w:eastAsia="宋体" w:cs="宋体"/>
          <w:b/>
          <w:bCs/>
          <w:spacing w:val="-1"/>
          <w:sz w:val="21"/>
          <w:szCs w:val="21"/>
          <w:lang w:eastAsia="zh-CN"/>
        </w:rPr>
        <w:t>（</w:t>
      </w:r>
      <w:r>
        <w:rPr>
          <w:rFonts w:hint="eastAsia" w:ascii="宋体" w:hAnsi="宋体" w:eastAsia="宋体" w:cs="宋体"/>
          <w:b/>
          <w:bCs/>
          <w:spacing w:val="-1"/>
          <w:sz w:val="21"/>
          <w:szCs w:val="21"/>
          <w:lang w:val="en-US" w:eastAsia="zh-CN"/>
        </w:rPr>
        <w:t>本项目不适用</w:t>
      </w:r>
      <w:r>
        <w:rPr>
          <w:rFonts w:hint="eastAsia" w:ascii="宋体" w:hAnsi="宋体" w:eastAsia="宋体" w:cs="宋体"/>
          <w:b/>
          <w:bCs/>
          <w:spacing w:val="-1"/>
          <w:sz w:val="21"/>
          <w:szCs w:val="21"/>
          <w:lang w:eastAsia="zh-CN"/>
        </w:rPr>
        <w:t>）</w:t>
      </w:r>
      <w:bookmarkEnd w:id="48"/>
    </w:p>
    <w:p w14:paraId="456CEFB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12.1投标人应按《投标人须知资料表》中规定的金额及要求交纳投标保证金。投</w:t>
      </w:r>
      <w:r>
        <w:rPr>
          <w:rFonts w:hint="eastAsia" w:ascii="宋体" w:hAnsi="宋体" w:eastAsia="宋体" w:cs="宋体"/>
          <w:sz w:val="21"/>
          <w:szCs w:val="21"/>
        </w:rPr>
        <w:t>标人自愿超额缴纳投标保证金的，投标文件不做</w:t>
      </w:r>
      <w:r>
        <w:rPr>
          <w:rFonts w:hint="eastAsia" w:ascii="宋体" w:hAnsi="宋体" w:eastAsia="宋体" w:cs="宋体"/>
          <w:spacing w:val="-1"/>
          <w:sz w:val="21"/>
          <w:szCs w:val="21"/>
        </w:rPr>
        <w:t>无效处理。</w:t>
      </w:r>
    </w:p>
    <w:p w14:paraId="0C92252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12.2交纳投标保证金可采用的形式：政府采购法律法规接受的支票、汇票、本票、网上银行支付或者金融机构、担保机构出具的保函等非现金形式。</w:t>
      </w:r>
    </w:p>
    <w:p w14:paraId="37EE042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12.3投标保证金到账（保函提交）截止时</w:t>
      </w:r>
      <w:r>
        <w:rPr>
          <w:rFonts w:hint="eastAsia" w:ascii="宋体" w:hAnsi="宋体" w:eastAsia="宋体" w:cs="宋体"/>
          <w:sz w:val="21"/>
          <w:szCs w:val="21"/>
        </w:rPr>
        <w:t>间同投标截止时间。以支票、汇票、本</w:t>
      </w:r>
      <w:r>
        <w:rPr>
          <w:rFonts w:hint="eastAsia" w:ascii="宋体" w:hAnsi="宋体" w:eastAsia="宋体" w:cs="宋体"/>
          <w:spacing w:val="-1"/>
          <w:sz w:val="21"/>
          <w:szCs w:val="21"/>
        </w:rPr>
        <w:t>票、网上银行支付等形式提交投标保证金的，应在投标截止时间前到账；以</w:t>
      </w:r>
      <w:r>
        <w:rPr>
          <w:rFonts w:hint="eastAsia" w:ascii="宋体" w:hAnsi="宋体" w:eastAsia="宋体" w:cs="宋体"/>
          <w:spacing w:val="1"/>
          <w:sz w:val="21"/>
          <w:szCs w:val="21"/>
        </w:rPr>
        <w:t>金融机构、担保机构出具的纸质保函等形式提交投标保证金的，应在投标截</w:t>
      </w:r>
      <w:r>
        <w:rPr>
          <w:rFonts w:hint="eastAsia" w:ascii="宋体" w:hAnsi="宋体" w:eastAsia="宋体" w:cs="宋体"/>
          <w:sz w:val="21"/>
          <w:szCs w:val="21"/>
        </w:rPr>
        <w:t>止时间前将原件提交至采购代理机构；以电子保函形式提交投标保证金的，</w:t>
      </w:r>
      <w:r>
        <w:rPr>
          <w:rFonts w:hint="eastAsia" w:ascii="宋体" w:hAnsi="宋体" w:eastAsia="宋体" w:cs="宋体"/>
          <w:spacing w:val="2"/>
          <w:sz w:val="21"/>
          <w:szCs w:val="21"/>
        </w:rPr>
        <w:t>应在投标截止时间前通过北京市政府采购电子交易平台完成电子保函在线办</w:t>
      </w:r>
      <w:r>
        <w:rPr>
          <w:rFonts w:hint="eastAsia" w:ascii="宋体" w:hAnsi="宋体" w:eastAsia="宋体" w:cs="宋体"/>
          <w:sz w:val="21"/>
          <w:szCs w:val="21"/>
        </w:rPr>
        <w:t>理。未按上述要求缴纳投标保证金的，其</w:t>
      </w:r>
      <w:r>
        <w:rPr>
          <w:rFonts w:hint="eastAsia" w:ascii="宋体" w:hAnsi="宋体" w:eastAsia="宋体" w:cs="宋体"/>
          <w:b/>
          <w:bCs/>
          <w:sz w:val="21"/>
          <w:szCs w:val="21"/>
        </w:rPr>
        <w:t>投标</w:t>
      </w:r>
      <w:r>
        <w:rPr>
          <w:rFonts w:hint="eastAsia" w:ascii="宋体" w:hAnsi="宋体" w:eastAsia="宋体" w:cs="宋体"/>
          <w:b/>
          <w:bCs/>
          <w:spacing w:val="-1"/>
          <w:sz w:val="21"/>
          <w:szCs w:val="21"/>
        </w:rPr>
        <w:t>无效</w:t>
      </w:r>
      <w:r>
        <w:rPr>
          <w:rFonts w:hint="eastAsia" w:ascii="宋体" w:hAnsi="宋体" w:eastAsia="宋体" w:cs="宋体"/>
          <w:spacing w:val="-1"/>
          <w:sz w:val="21"/>
          <w:szCs w:val="21"/>
        </w:rPr>
        <w:t>。</w:t>
      </w:r>
    </w:p>
    <w:p w14:paraId="60A875C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12.4投标人除需在投标文件中提供“投标保证</w:t>
      </w:r>
      <w:r>
        <w:rPr>
          <w:rFonts w:hint="eastAsia" w:ascii="宋体" w:hAnsi="宋体" w:eastAsia="宋体" w:cs="宋体"/>
          <w:sz w:val="21"/>
          <w:szCs w:val="21"/>
        </w:rPr>
        <w:t>金凭证/交款单据电子件”，还需在</w:t>
      </w:r>
      <w:r>
        <w:rPr>
          <w:rFonts w:hint="eastAsia" w:ascii="宋体" w:hAnsi="宋体" w:eastAsia="宋体" w:cs="宋体"/>
          <w:spacing w:val="-8"/>
          <w:sz w:val="21"/>
          <w:szCs w:val="21"/>
        </w:rPr>
        <w:t>投标截止时间前，通过电子交易平台上传“投标保证金凭证/交款单据电子件”。</w:t>
      </w:r>
    </w:p>
    <w:p w14:paraId="21F7F5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12.5投标保证金有效期同投标有效期。</w:t>
      </w:r>
    </w:p>
    <w:p w14:paraId="1330F56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12.6投标人为联合体的，可以由联合体中的一方或者多方共同交纳投标保证金，</w:t>
      </w:r>
      <w:r>
        <w:rPr>
          <w:rFonts w:hint="eastAsia" w:ascii="宋体" w:hAnsi="宋体" w:eastAsia="宋体" w:cs="宋体"/>
          <w:spacing w:val="-1"/>
          <w:sz w:val="21"/>
          <w:szCs w:val="21"/>
        </w:rPr>
        <w:t>其交纳的投标保证金对联合体各方均具有约束力。</w:t>
      </w:r>
    </w:p>
    <w:p w14:paraId="29A3A72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12.7采购人、采购代理机构将及时退还投标人的投标保证金，采用银行保函、担保机构担保函等形式递交的投标保证金，经投标人同意后采购人、采</w:t>
      </w:r>
      <w:r>
        <w:rPr>
          <w:rFonts w:hint="eastAsia" w:ascii="宋体" w:hAnsi="宋体" w:eastAsia="宋体" w:cs="宋体"/>
          <w:spacing w:val="-1"/>
          <w:sz w:val="21"/>
          <w:szCs w:val="21"/>
        </w:rPr>
        <w:t>购代理</w:t>
      </w:r>
      <w:r>
        <w:rPr>
          <w:rFonts w:hint="eastAsia" w:ascii="宋体" w:hAnsi="宋体" w:eastAsia="宋体" w:cs="宋体"/>
          <w:sz w:val="21"/>
          <w:szCs w:val="21"/>
        </w:rPr>
        <w:t>机构可以不再退还，但因投标人自身原因导致无法及时退还</w:t>
      </w:r>
      <w:r>
        <w:rPr>
          <w:rFonts w:hint="eastAsia" w:ascii="宋体" w:hAnsi="宋体" w:eastAsia="宋体" w:cs="宋体"/>
          <w:spacing w:val="-1"/>
          <w:sz w:val="21"/>
          <w:szCs w:val="21"/>
        </w:rPr>
        <w:t>的除外：</w:t>
      </w:r>
    </w:p>
    <w:p w14:paraId="7912563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12.7.1投标人在投标截止时间前撤回已提交的投标文件的，自收到投标人书面撤回通知之日起5个工作日内退还已收取的投标保证金；</w:t>
      </w:r>
    </w:p>
    <w:p w14:paraId="12D3449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12.7.2中标人的投标保证金，自采购合同签订之日起5个工作日内退还中</w:t>
      </w:r>
      <w:r>
        <w:rPr>
          <w:rFonts w:hint="eastAsia" w:ascii="宋体" w:hAnsi="宋体" w:eastAsia="宋体" w:cs="宋体"/>
          <w:spacing w:val="-2"/>
          <w:sz w:val="21"/>
          <w:szCs w:val="21"/>
        </w:rPr>
        <w:t>标人；</w:t>
      </w:r>
    </w:p>
    <w:p w14:paraId="79FB200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12.7.3未中标投标人的投标保证金，自中标通知书发出之日起5个工作日</w:t>
      </w:r>
      <w:r>
        <w:rPr>
          <w:rFonts w:hint="eastAsia" w:ascii="宋体" w:hAnsi="宋体" w:eastAsia="宋体" w:cs="宋体"/>
          <w:spacing w:val="-4"/>
          <w:sz w:val="21"/>
          <w:szCs w:val="21"/>
        </w:rPr>
        <w:t>内退还未中标人；</w:t>
      </w:r>
    </w:p>
    <w:p w14:paraId="691C56D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12.7.4终止招标项目已经收取投标保证金的，自终止采购活动后5个工作</w:t>
      </w:r>
      <w:r>
        <w:rPr>
          <w:rFonts w:hint="eastAsia" w:ascii="宋体" w:hAnsi="宋体" w:eastAsia="宋体" w:cs="宋体"/>
          <w:spacing w:val="-3"/>
          <w:sz w:val="21"/>
          <w:szCs w:val="21"/>
        </w:rPr>
        <w:t>日内退还已收取的投标保证金及其在银行产生的孳息。</w:t>
      </w:r>
    </w:p>
    <w:p w14:paraId="0A9C95D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12.8有下列情形之一的，采购人或采购代理机构可以不予退还投标保证金：</w:t>
      </w:r>
    </w:p>
    <w:p w14:paraId="336698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12.8.1投标有效期内投标人撤销投标</w:t>
      </w:r>
      <w:r>
        <w:rPr>
          <w:rFonts w:hint="eastAsia" w:ascii="宋体" w:hAnsi="宋体" w:eastAsia="宋体" w:cs="宋体"/>
          <w:spacing w:val="2"/>
          <w:sz w:val="21"/>
          <w:szCs w:val="21"/>
        </w:rPr>
        <w:t>文件的；</w:t>
      </w:r>
    </w:p>
    <w:p w14:paraId="04173C6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12.8.2《投标人须知资料表》中规定的其他情形。</w:t>
      </w:r>
    </w:p>
    <w:p w14:paraId="3A58F35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49" w:name="_Toc30103"/>
      <w:r>
        <w:rPr>
          <w:rFonts w:hint="eastAsia" w:ascii="宋体" w:hAnsi="宋体" w:eastAsia="宋体" w:cs="宋体"/>
          <w:b/>
          <w:bCs/>
          <w:spacing w:val="-1"/>
          <w:sz w:val="21"/>
          <w:szCs w:val="21"/>
        </w:rPr>
        <w:t>13</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投标有效期</w:t>
      </w:r>
      <w:bookmarkEnd w:id="49"/>
    </w:p>
    <w:p w14:paraId="40B1A3B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13.1投标文件应在本招标文件《投标人须知资料表》中规定的投标有效期内保持</w:t>
      </w:r>
      <w:r>
        <w:rPr>
          <w:rFonts w:hint="eastAsia" w:ascii="宋体" w:hAnsi="宋体" w:eastAsia="宋体" w:cs="宋体"/>
          <w:sz w:val="21"/>
          <w:szCs w:val="21"/>
        </w:rPr>
        <w:t>有效，投标有效期少于招标文件规定期限的，其</w:t>
      </w:r>
      <w:r>
        <w:rPr>
          <w:rFonts w:hint="eastAsia" w:ascii="宋体" w:hAnsi="宋体" w:eastAsia="宋体" w:cs="宋体"/>
          <w:b/>
          <w:bCs/>
          <w:sz w:val="21"/>
          <w:szCs w:val="21"/>
        </w:rPr>
        <w:t>投</w:t>
      </w:r>
      <w:r>
        <w:rPr>
          <w:rFonts w:hint="eastAsia" w:ascii="宋体" w:hAnsi="宋体" w:eastAsia="宋体" w:cs="宋体"/>
          <w:b/>
          <w:bCs/>
          <w:spacing w:val="-1"/>
          <w:sz w:val="21"/>
          <w:szCs w:val="21"/>
        </w:rPr>
        <w:t>标无效</w:t>
      </w:r>
      <w:r>
        <w:rPr>
          <w:rFonts w:hint="eastAsia" w:ascii="宋体" w:hAnsi="宋体" w:eastAsia="宋体" w:cs="宋体"/>
          <w:spacing w:val="-1"/>
          <w:sz w:val="21"/>
          <w:szCs w:val="21"/>
        </w:rPr>
        <w:t>。</w:t>
      </w:r>
    </w:p>
    <w:p w14:paraId="337A06B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50" w:name="_Toc13408"/>
      <w:r>
        <w:rPr>
          <w:rFonts w:hint="eastAsia" w:ascii="宋体" w:hAnsi="宋体" w:eastAsia="宋体" w:cs="宋体"/>
          <w:b/>
          <w:bCs/>
          <w:spacing w:val="-1"/>
          <w:sz w:val="21"/>
          <w:szCs w:val="21"/>
        </w:rPr>
        <w:t>14</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投标文件的签署、盖章</w:t>
      </w:r>
      <w:bookmarkEnd w:id="50"/>
    </w:p>
    <w:p w14:paraId="480B5F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14.1招标文件要求签字的内容（如授权委托书等</w:t>
      </w:r>
      <w:r>
        <w:rPr>
          <w:rFonts w:hint="eastAsia" w:ascii="宋体" w:hAnsi="宋体" w:eastAsia="宋体" w:cs="宋体"/>
          <w:spacing w:val="-54"/>
          <w:w w:val="95"/>
          <w:sz w:val="21"/>
          <w:szCs w:val="21"/>
        </w:rPr>
        <w:t>），</w:t>
      </w:r>
      <w:r>
        <w:rPr>
          <w:rFonts w:hint="eastAsia" w:ascii="宋体" w:hAnsi="宋体" w:eastAsia="宋体" w:cs="宋体"/>
          <w:sz w:val="21"/>
          <w:szCs w:val="21"/>
        </w:rPr>
        <w:t>可以使用电子签章或使用原件</w:t>
      </w:r>
      <w:r>
        <w:rPr>
          <w:rFonts w:hint="eastAsia" w:ascii="宋体" w:hAnsi="宋体" w:eastAsia="宋体" w:cs="宋体"/>
          <w:spacing w:val="-3"/>
          <w:sz w:val="21"/>
          <w:szCs w:val="21"/>
        </w:rPr>
        <w:t>的电子件（电子件指扫描件、照片等形式电子文</w:t>
      </w:r>
      <w:r>
        <w:rPr>
          <w:rFonts w:hint="eastAsia" w:ascii="宋体" w:hAnsi="宋体" w:eastAsia="宋体" w:cs="宋体"/>
          <w:spacing w:val="-4"/>
          <w:sz w:val="21"/>
          <w:szCs w:val="21"/>
        </w:rPr>
        <w:t>件</w:t>
      </w:r>
      <w:r>
        <w:rPr>
          <w:rFonts w:hint="eastAsia" w:ascii="宋体" w:hAnsi="宋体" w:eastAsia="宋体" w:cs="宋体"/>
          <w:spacing w:val="-54"/>
          <w:w w:val="95"/>
          <w:sz w:val="21"/>
          <w:szCs w:val="21"/>
        </w:rPr>
        <w:t>）；</w:t>
      </w:r>
      <w:r>
        <w:rPr>
          <w:rFonts w:hint="eastAsia" w:ascii="宋体" w:hAnsi="宋体" w:eastAsia="宋体" w:cs="宋体"/>
          <w:spacing w:val="-4"/>
          <w:sz w:val="21"/>
          <w:szCs w:val="21"/>
        </w:rPr>
        <w:t>要求第三方出具的盖章</w:t>
      </w:r>
      <w:r>
        <w:rPr>
          <w:rFonts w:hint="eastAsia" w:ascii="宋体" w:hAnsi="宋体" w:eastAsia="宋体" w:cs="宋体"/>
          <w:spacing w:val="-1"/>
          <w:sz w:val="21"/>
          <w:szCs w:val="21"/>
        </w:rPr>
        <w:t>件原件（如联合协议、分包意向协议、制造商</w:t>
      </w:r>
      <w:r>
        <w:rPr>
          <w:rFonts w:hint="eastAsia" w:ascii="宋体" w:hAnsi="宋体" w:eastAsia="宋体" w:cs="宋体"/>
          <w:spacing w:val="-2"/>
          <w:sz w:val="21"/>
          <w:szCs w:val="21"/>
        </w:rPr>
        <w:t>授权书等</w:t>
      </w:r>
      <w:r>
        <w:rPr>
          <w:rFonts w:hint="eastAsia" w:ascii="宋体" w:hAnsi="宋体" w:eastAsia="宋体" w:cs="宋体"/>
          <w:spacing w:val="-55"/>
          <w:w w:val="97"/>
          <w:sz w:val="21"/>
          <w:szCs w:val="21"/>
        </w:rPr>
        <w:t>），</w:t>
      </w:r>
      <w:r>
        <w:rPr>
          <w:rFonts w:hint="eastAsia" w:ascii="宋体" w:hAnsi="宋体" w:eastAsia="宋体" w:cs="宋体"/>
          <w:spacing w:val="-2"/>
          <w:sz w:val="21"/>
          <w:szCs w:val="21"/>
        </w:rPr>
        <w:t>投标文件中应使用</w:t>
      </w:r>
      <w:r>
        <w:rPr>
          <w:rFonts w:hint="eastAsia" w:ascii="宋体" w:hAnsi="宋体" w:eastAsia="宋体" w:cs="宋体"/>
          <w:spacing w:val="-1"/>
          <w:sz w:val="21"/>
          <w:szCs w:val="21"/>
        </w:rPr>
        <w:t>原件的电子件。</w:t>
      </w:r>
    </w:p>
    <w:p w14:paraId="68D9589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14.2招标文件要求盖章的内容，一般通过投标文件编制工具加盖电子签章。</w:t>
      </w:r>
    </w:p>
    <w:p w14:paraId="09176A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spacing w:val="-1"/>
          <w:sz w:val="21"/>
          <w:szCs w:val="21"/>
        </w:rPr>
      </w:pPr>
      <w:bookmarkStart w:id="51" w:name="_Toc19718"/>
      <w:bookmarkStart w:id="52" w:name="_Toc24347"/>
      <w:r>
        <w:rPr>
          <w:rFonts w:hint="eastAsia" w:ascii="宋体" w:hAnsi="宋体" w:eastAsia="宋体" w:cs="宋体"/>
          <w:b/>
          <w:bCs/>
          <w:spacing w:val="-1"/>
          <w:sz w:val="21"/>
          <w:szCs w:val="21"/>
        </w:rPr>
        <w:t>四</w:t>
      </w:r>
      <w:r>
        <w:rPr>
          <w:rFonts w:hint="eastAsia" w:ascii="宋体" w:hAnsi="宋体" w:eastAsia="宋体" w:cs="宋体"/>
          <w:b/>
          <w:bCs/>
          <w:spacing w:val="-1"/>
          <w:sz w:val="21"/>
          <w:szCs w:val="21"/>
          <w:lang w:eastAsia="zh-CN"/>
        </w:rPr>
        <w:t>、</w:t>
      </w:r>
      <w:r>
        <w:rPr>
          <w:rFonts w:hint="eastAsia" w:ascii="宋体" w:hAnsi="宋体" w:eastAsia="宋体" w:cs="宋体"/>
          <w:b/>
          <w:bCs/>
          <w:spacing w:val="-1"/>
          <w:sz w:val="21"/>
          <w:szCs w:val="21"/>
        </w:rPr>
        <w:t>投标文件的提交</w:t>
      </w:r>
      <w:bookmarkEnd w:id="51"/>
      <w:bookmarkEnd w:id="52"/>
    </w:p>
    <w:p w14:paraId="5936EA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53" w:name="_Toc1030"/>
      <w:r>
        <w:rPr>
          <w:rFonts w:hint="eastAsia" w:ascii="宋体" w:hAnsi="宋体" w:eastAsia="宋体" w:cs="宋体"/>
          <w:b/>
          <w:bCs/>
          <w:spacing w:val="-1"/>
          <w:sz w:val="21"/>
          <w:szCs w:val="21"/>
        </w:rPr>
        <w:t>15</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投标文件的提交</w:t>
      </w:r>
      <w:bookmarkEnd w:id="53"/>
    </w:p>
    <w:p w14:paraId="2B3E61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15.1本项目使用</w:t>
      </w:r>
      <w:r>
        <w:rPr>
          <w:rFonts w:hint="eastAsia" w:ascii="宋体" w:hAnsi="宋体" w:eastAsia="宋体" w:cs="宋体"/>
          <w:spacing w:val="2"/>
          <w:sz w:val="21"/>
          <w:szCs w:val="21"/>
          <w:lang w:val="en-US" w:eastAsia="zh-CN"/>
        </w:rPr>
        <w:t>公共资源</w:t>
      </w:r>
      <w:r>
        <w:rPr>
          <w:rFonts w:hint="eastAsia" w:ascii="宋体" w:hAnsi="宋体" w:eastAsia="宋体" w:cs="宋体"/>
          <w:spacing w:val="2"/>
          <w:sz w:val="21"/>
          <w:szCs w:val="21"/>
        </w:rPr>
        <w:t>交易平台。投标人根据招标文件及电子交易</w:t>
      </w:r>
      <w:r>
        <w:rPr>
          <w:rFonts w:hint="eastAsia" w:ascii="宋体" w:hAnsi="宋体" w:eastAsia="宋体" w:cs="宋体"/>
          <w:sz w:val="21"/>
          <w:szCs w:val="21"/>
        </w:rPr>
        <w:t>平台供应商操作手册要求编制、生成并提交电子</w:t>
      </w:r>
      <w:r>
        <w:rPr>
          <w:rFonts w:hint="eastAsia" w:ascii="宋体" w:hAnsi="宋体" w:eastAsia="宋体" w:cs="宋体"/>
          <w:spacing w:val="-1"/>
          <w:sz w:val="21"/>
          <w:szCs w:val="21"/>
        </w:rPr>
        <w:t>投标文件。</w:t>
      </w:r>
    </w:p>
    <w:p w14:paraId="0AC3BE5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15.2采购人及采购代理机构拒绝接受通过电子交易平台以外任何形式提交的</w:t>
      </w:r>
      <w:r>
        <w:rPr>
          <w:rFonts w:hint="eastAsia" w:ascii="宋体" w:hAnsi="宋体" w:eastAsia="宋体" w:cs="宋体"/>
          <w:spacing w:val="2"/>
          <w:sz w:val="21"/>
          <w:szCs w:val="21"/>
        </w:rPr>
        <w:t>投标</w:t>
      </w:r>
      <w:r>
        <w:rPr>
          <w:rFonts w:hint="eastAsia" w:ascii="宋体" w:hAnsi="宋体" w:eastAsia="宋体" w:cs="宋体"/>
          <w:spacing w:val="-1"/>
          <w:sz w:val="21"/>
          <w:szCs w:val="21"/>
        </w:rPr>
        <w:t>文件。</w:t>
      </w:r>
    </w:p>
    <w:p w14:paraId="7E764C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54" w:name="_Toc7263"/>
      <w:r>
        <w:rPr>
          <w:rFonts w:hint="eastAsia" w:ascii="宋体" w:hAnsi="宋体" w:eastAsia="宋体" w:cs="宋体"/>
          <w:b/>
          <w:bCs/>
          <w:spacing w:val="-1"/>
          <w:sz w:val="21"/>
          <w:szCs w:val="21"/>
        </w:rPr>
        <w:t>16</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投标截止时间</w:t>
      </w:r>
      <w:bookmarkEnd w:id="54"/>
    </w:p>
    <w:p w14:paraId="47D4209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16.1投标人应在招标文件要求提交投标文件截止时间前，将电子投标文件</w:t>
      </w:r>
      <w:r>
        <w:rPr>
          <w:rFonts w:hint="eastAsia" w:ascii="宋体" w:hAnsi="宋体" w:eastAsia="宋体" w:cs="宋体"/>
          <w:spacing w:val="2"/>
          <w:sz w:val="21"/>
          <w:szCs w:val="21"/>
        </w:rPr>
        <w:t>提交至</w:t>
      </w:r>
      <w:r>
        <w:rPr>
          <w:rFonts w:hint="eastAsia" w:ascii="宋体" w:hAnsi="宋体" w:eastAsia="宋体" w:cs="宋体"/>
          <w:spacing w:val="-4"/>
          <w:sz w:val="21"/>
          <w:szCs w:val="21"/>
        </w:rPr>
        <w:t>电子交易平台。</w:t>
      </w:r>
    </w:p>
    <w:p w14:paraId="53C685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55" w:name="_Toc6840"/>
      <w:r>
        <w:rPr>
          <w:rFonts w:hint="eastAsia" w:ascii="宋体" w:hAnsi="宋体" w:eastAsia="宋体" w:cs="宋体"/>
          <w:b/>
          <w:bCs/>
          <w:spacing w:val="-1"/>
          <w:sz w:val="21"/>
          <w:szCs w:val="21"/>
        </w:rPr>
        <w:t>17</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投标文件的修改与撤回</w:t>
      </w:r>
      <w:bookmarkEnd w:id="55"/>
    </w:p>
    <w:p w14:paraId="04058EC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17.1投标截止时间前，投标人可以通过电子交易平台对</w:t>
      </w:r>
      <w:r>
        <w:rPr>
          <w:rFonts w:hint="eastAsia" w:ascii="宋体" w:hAnsi="宋体" w:eastAsia="宋体" w:cs="宋体"/>
          <w:spacing w:val="1"/>
          <w:sz w:val="21"/>
          <w:szCs w:val="21"/>
        </w:rPr>
        <w:t>所提交的投标文件进行补</w:t>
      </w:r>
      <w:r>
        <w:rPr>
          <w:rFonts w:hint="eastAsia" w:ascii="宋体" w:hAnsi="宋体" w:eastAsia="宋体" w:cs="宋体"/>
          <w:spacing w:val="-1"/>
          <w:sz w:val="21"/>
          <w:szCs w:val="21"/>
        </w:rPr>
        <w:t>充、修改或者撤回。</w:t>
      </w:r>
    </w:p>
    <w:p w14:paraId="45F412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17.2投标人对投标文件的补充、修改的内容应当按照招标文件要求签署、盖章，</w:t>
      </w:r>
      <w:r>
        <w:rPr>
          <w:rFonts w:hint="eastAsia" w:ascii="宋体" w:hAnsi="宋体" w:eastAsia="宋体" w:cs="宋体"/>
          <w:spacing w:val="-1"/>
          <w:sz w:val="21"/>
          <w:szCs w:val="21"/>
        </w:rPr>
        <w:t>作为投标文件的组成部分。</w:t>
      </w:r>
    </w:p>
    <w:p w14:paraId="04A80AA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spacing w:val="-1"/>
          <w:sz w:val="21"/>
          <w:szCs w:val="21"/>
        </w:rPr>
      </w:pPr>
      <w:bookmarkStart w:id="56" w:name="_Toc2864"/>
      <w:bookmarkStart w:id="57" w:name="_Toc14779"/>
      <w:r>
        <w:rPr>
          <w:rFonts w:hint="eastAsia" w:ascii="宋体" w:hAnsi="宋体" w:eastAsia="宋体" w:cs="宋体"/>
          <w:b/>
          <w:bCs/>
          <w:spacing w:val="-1"/>
          <w:sz w:val="21"/>
          <w:szCs w:val="21"/>
        </w:rPr>
        <w:t>五</w:t>
      </w:r>
      <w:r>
        <w:rPr>
          <w:rFonts w:hint="eastAsia" w:ascii="宋体" w:hAnsi="宋体" w:eastAsia="宋体" w:cs="宋体"/>
          <w:b/>
          <w:bCs/>
          <w:spacing w:val="-1"/>
          <w:sz w:val="21"/>
          <w:szCs w:val="21"/>
          <w:lang w:eastAsia="zh-CN"/>
        </w:rPr>
        <w:t>、</w:t>
      </w:r>
      <w:r>
        <w:rPr>
          <w:rFonts w:hint="eastAsia" w:ascii="宋体" w:hAnsi="宋体" w:eastAsia="宋体" w:cs="宋体"/>
          <w:b/>
          <w:bCs/>
          <w:spacing w:val="-1"/>
          <w:sz w:val="21"/>
          <w:szCs w:val="21"/>
        </w:rPr>
        <w:t>开标、资格审查及评标</w:t>
      </w:r>
      <w:bookmarkEnd w:id="56"/>
      <w:bookmarkEnd w:id="57"/>
    </w:p>
    <w:p w14:paraId="2E1C0FC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58" w:name="_Toc29234"/>
      <w:r>
        <w:rPr>
          <w:rFonts w:hint="eastAsia" w:ascii="宋体" w:hAnsi="宋体" w:eastAsia="宋体" w:cs="宋体"/>
          <w:b/>
          <w:bCs/>
          <w:spacing w:val="-1"/>
          <w:sz w:val="21"/>
          <w:szCs w:val="21"/>
        </w:rPr>
        <w:t>18</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开标</w:t>
      </w:r>
      <w:bookmarkEnd w:id="58"/>
    </w:p>
    <w:p w14:paraId="02715BF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18.1采购人或采购代理机构将按招标文件的规定，在投标</w:t>
      </w:r>
      <w:r>
        <w:rPr>
          <w:rFonts w:hint="eastAsia" w:ascii="宋体" w:hAnsi="宋体" w:eastAsia="宋体" w:cs="宋体"/>
          <w:spacing w:val="1"/>
          <w:sz w:val="21"/>
          <w:szCs w:val="21"/>
        </w:rPr>
        <w:t>截止时间的同一时间和</w:t>
      </w:r>
      <w:r>
        <w:rPr>
          <w:rFonts w:hint="eastAsia" w:ascii="宋体" w:hAnsi="宋体" w:eastAsia="宋体" w:cs="宋体"/>
          <w:spacing w:val="-1"/>
          <w:sz w:val="21"/>
          <w:szCs w:val="21"/>
        </w:rPr>
        <w:t>招标文件预先确定的地点组织开标。</w:t>
      </w:r>
    </w:p>
    <w:p w14:paraId="2A750ED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18.2本项目开标使用</w:t>
      </w:r>
      <w:r>
        <w:rPr>
          <w:rFonts w:hint="eastAsia" w:ascii="宋体" w:hAnsi="宋体" w:eastAsia="宋体" w:cs="宋体"/>
          <w:spacing w:val="2"/>
          <w:sz w:val="21"/>
          <w:szCs w:val="21"/>
          <w:lang w:val="en-US" w:eastAsia="zh-CN"/>
        </w:rPr>
        <w:t>公共资源</w:t>
      </w:r>
      <w:r>
        <w:rPr>
          <w:rFonts w:hint="eastAsia" w:ascii="宋体" w:hAnsi="宋体" w:eastAsia="宋体" w:cs="宋体"/>
          <w:spacing w:val="2"/>
          <w:sz w:val="21"/>
          <w:szCs w:val="21"/>
        </w:rPr>
        <w:t>电子交易平台。投标人应在《投标人须知资</w:t>
      </w:r>
      <w:r>
        <w:rPr>
          <w:rFonts w:hint="eastAsia" w:ascii="宋体" w:hAnsi="宋体" w:eastAsia="宋体" w:cs="宋体"/>
          <w:spacing w:val="1"/>
          <w:sz w:val="21"/>
          <w:szCs w:val="21"/>
        </w:rPr>
        <w:t>料表》规定的时间内对投标文件进行解密，因非系统原因导致的解密失败，</w:t>
      </w:r>
      <w:r>
        <w:rPr>
          <w:rFonts w:hint="eastAsia" w:ascii="宋体" w:hAnsi="宋体" w:eastAsia="宋体" w:cs="宋体"/>
          <w:spacing w:val="-1"/>
          <w:sz w:val="21"/>
          <w:szCs w:val="21"/>
        </w:rPr>
        <w:t>视为</w:t>
      </w:r>
      <w:r>
        <w:rPr>
          <w:rFonts w:hint="eastAsia" w:ascii="宋体" w:hAnsi="宋体" w:eastAsia="宋体" w:cs="宋体"/>
          <w:b/>
          <w:bCs/>
          <w:spacing w:val="-1"/>
          <w:sz w:val="21"/>
          <w:szCs w:val="21"/>
        </w:rPr>
        <w:t>投标无效</w:t>
      </w:r>
      <w:r>
        <w:rPr>
          <w:rFonts w:hint="eastAsia" w:ascii="宋体" w:hAnsi="宋体" w:eastAsia="宋体" w:cs="宋体"/>
          <w:spacing w:val="-1"/>
          <w:sz w:val="21"/>
          <w:szCs w:val="21"/>
        </w:rPr>
        <w:t>。</w:t>
      </w:r>
    </w:p>
    <w:p w14:paraId="6B6720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18.3开标过程将使用电子交易平台宣布投标人名称、投标价格和招标文件规定的</w:t>
      </w:r>
      <w:r>
        <w:rPr>
          <w:rFonts w:hint="eastAsia" w:ascii="宋体" w:hAnsi="宋体" w:eastAsia="宋体" w:cs="宋体"/>
          <w:spacing w:val="1"/>
          <w:sz w:val="21"/>
          <w:szCs w:val="21"/>
        </w:rPr>
        <w:t>需要宣布的其他内容并进行记录，并由参加开标的各投标人确认。投标人未</w:t>
      </w:r>
      <w:r>
        <w:rPr>
          <w:rFonts w:hint="eastAsia" w:ascii="宋体" w:hAnsi="宋体" w:eastAsia="宋体" w:cs="宋体"/>
          <w:sz w:val="21"/>
          <w:szCs w:val="21"/>
        </w:rPr>
        <w:t>在规定时间内提出疑义或确认一览表的，视同认可</w:t>
      </w:r>
      <w:r>
        <w:rPr>
          <w:rFonts w:hint="eastAsia" w:ascii="宋体" w:hAnsi="宋体" w:eastAsia="宋体" w:cs="宋体"/>
          <w:spacing w:val="-1"/>
          <w:sz w:val="21"/>
          <w:szCs w:val="21"/>
        </w:rPr>
        <w:t>开标结果。</w:t>
      </w:r>
    </w:p>
    <w:p w14:paraId="49C7D54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18.4投标人对开标过程和开标记录有疑义，</w:t>
      </w:r>
      <w:r>
        <w:rPr>
          <w:rFonts w:hint="eastAsia" w:ascii="宋体" w:hAnsi="宋体" w:eastAsia="宋体" w:cs="宋体"/>
          <w:spacing w:val="1"/>
          <w:sz w:val="21"/>
          <w:szCs w:val="21"/>
        </w:rPr>
        <w:t>以及认为采购人、采购代理机构相关</w:t>
      </w:r>
      <w:r>
        <w:rPr>
          <w:rFonts w:hint="eastAsia" w:ascii="宋体" w:hAnsi="宋体" w:eastAsia="宋体" w:cs="宋体"/>
          <w:sz w:val="21"/>
          <w:szCs w:val="21"/>
        </w:rPr>
        <w:t>工作人员有需要回避的情形的，应当场提出询问或者回避申请。采购人、采购代理机构对投标人提出的询问或者回避申</w:t>
      </w:r>
      <w:r>
        <w:rPr>
          <w:rFonts w:hint="eastAsia" w:ascii="宋体" w:hAnsi="宋体" w:eastAsia="宋体" w:cs="宋体"/>
          <w:spacing w:val="-1"/>
          <w:sz w:val="21"/>
          <w:szCs w:val="21"/>
        </w:rPr>
        <w:t>请将及时处理。</w:t>
      </w:r>
    </w:p>
    <w:p w14:paraId="5C5F803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18.5投标人不足3家的，不予开标。</w:t>
      </w:r>
    </w:p>
    <w:p w14:paraId="2F8721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59" w:name="_Toc25374"/>
      <w:r>
        <w:rPr>
          <w:rFonts w:hint="eastAsia" w:ascii="宋体" w:hAnsi="宋体" w:eastAsia="宋体" w:cs="宋体"/>
          <w:b/>
          <w:bCs/>
          <w:spacing w:val="-1"/>
          <w:sz w:val="21"/>
          <w:szCs w:val="21"/>
        </w:rPr>
        <w:t>19</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资格审查</w:t>
      </w:r>
      <w:bookmarkEnd w:id="59"/>
    </w:p>
    <w:p w14:paraId="6906AB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z w:val="21"/>
          <w:szCs w:val="21"/>
        </w:rPr>
      </w:pPr>
      <w:r>
        <w:rPr>
          <w:rFonts w:hint="eastAsia" w:ascii="宋体" w:hAnsi="宋体" w:eastAsia="宋体" w:cs="宋体"/>
          <w:spacing w:val="-5"/>
          <w:sz w:val="21"/>
          <w:szCs w:val="21"/>
        </w:rPr>
        <w:t>19.1见第三章《资格审查》。</w:t>
      </w:r>
    </w:p>
    <w:p w14:paraId="7CCE50B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60" w:name="_Toc28915"/>
      <w:r>
        <w:rPr>
          <w:rFonts w:hint="eastAsia" w:ascii="宋体" w:hAnsi="宋体" w:eastAsia="宋体" w:cs="宋体"/>
          <w:b/>
          <w:bCs/>
          <w:spacing w:val="-1"/>
          <w:sz w:val="21"/>
          <w:szCs w:val="21"/>
        </w:rPr>
        <w:t>20</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评标委员会</w:t>
      </w:r>
      <w:bookmarkEnd w:id="60"/>
    </w:p>
    <w:p w14:paraId="1BE3FB1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20.1评标委员会根据政府采购有关规定和本次采购项目的特点进行组建，并负责</w:t>
      </w:r>
      <w:r>
        <w:rPr>
          <w:rFonts w:hint="eastAsia" w:ascii="宋体" w:hAnsi="宋体" w:eastAsia="宋体" w:cs="宋体"/>
          <w:spacing w:val="-4"/>
          <w:sz w:val="21"/>
          <w:szCs w:val="21"/>
        </w:rPr>
        <w:t>具体评标事务，独立履行职责。</w:t>
      </w:r>
    </w:p>
    <w:p w14:paraId="0EEEAA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20.2评审专家须符合《财政部关于在政府采购活动中查询及使用信用记录有关问</w:t>
      </w:r>
      <w:r>
        <w:rPr>
          <w:rFonts w:hint="eastAsia" w:ascii="宋体" w:hAnsi="宋体" w:eastAsia="宋体" w:cs="宋体"/>
          <w:spacing w:val="-1"/>
          <w:sz w:val="21"/>
          <w:szCs w:val="21"/>
        </w:rPr>
        <w:t>题的通知》（财库〔2016〕125号）的规定。依法自行选定评审专家的</w:t>
      </w:r>
      <w:r>
        <w:rPr>
          <w:rFonts w:hint="eastAsia" w:ascii="宋体" w:hAnsi="宋体" w:eastAsia="宋体" w:cs="宋体"/>
          <w:spacing w:val="-2"/>
          <w:sz w:val="21"/>
          <w:szCs w:val="21"/>
        </w:rPr>
        <w:t>，采</w:t>
      </w:r>
      <w:r>
        <w:rPr>
          <w:rFonts w:hint="eastAsia" w:ascii="宋体" w:hAnsi="宋体" w:eastAsia="宋体" w:cs="宋体"/>
          <w:sz w:val="21"/>
          <w:szCs w:val="21"/>
        </w:rPr>
        <w:t>购人和采购代理机构将查询有关信用记录，对具有行贿、受贿、欺诈等不良</w:t>
      </w:r>
      <w:r>
        <w:rPr>
          <w:rFonts w:hint="eastAsia" w:ascii="宋体" w:hAnsi="宋体" w:eastAsia="宋体" w:cs="宋体"/>
          <w:spacing w:val="-1"/>
          <w:sz w:val="21"/>
          <w:szCs w:val="21"/>
        </w:rPr>
        <w:t>信用记录的人员，拒绝其参与政府采购活动。</w:t>
      </w:r>
    </w:p>
    <w:p w14:paraId="439A513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61" w:name="_Toc28246"/>
      <w:r>
        <w:rPr>
          <w:rFonts w:hint="eastAsia" w:ascii="宋体" w:hAnsi="宋体" w:eastAsia="宋体" w:cs="宋体"/>
          <w:b/>
          <w:bCs/>
          <w:spacing w:val="-1"/>
          <w:sz w:val="21"/>
          <w:szCs w:val="21"/>
        </w:rPr>
        <w:t>21</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评标程序、评标方法和评标标准</w:t>
      </w:r>
      <w:bookmarkEnd w:id="61"/>
    </w:p>
    <w:p w14:paraId="6E60FD6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21.1见第四章《评标程序、评标方法和评标标准》。</w:t>
      </w:r>
    </w:p>
    <w:p w14:paraId="79FF22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spacing w:val="-1"/>
          <w:sz w:val="21"/>
          <w:szCs w:val="21"/>
        </w:rPr>
      </w:pPr>
      <w:bookmarkStart w:id="62" w:name="_Toc31973"/>
      <w:bookmarkStart w:id="63" w:name="_Toc26490"/>
      <w:r>
        <w:rPr>
          <w:rFonts w:hint="eastAsia" w:ascii="宋体" w:hAnsi="宋体" w:eastAsia="宋体" w:cs="宋体"/>
          <w:b/>
          <w:bCs/>
          <w:spacing w:val="-1"/>
          <w:sz w:val="21"/>
          <w:szCs w:val="21"/>
        </w:rPr>
        <w:t>六</w:t>
      </w:r>
      <w:r>
        <w:rPr>
          <w:rFonts w:hint="eastAsia" w:ascii="宋体" w:hAnsi="宋体" w:eastAsia="宋体" w:cs="宋体"/>
          <w:b/>
          <w:bCs/>
          <w:spacing w:val="-1"/>
          <w:sz w:val="21"/>
          <w:szCs w:val="21"/>
          <w:lang w:eastAsia="zh-CN"/>
        </w:rPr>
        <w:t>、</w:t>
      </w:r>
      <w:r>
        <w:rPr>
          <w:rFonts w:hint="eastAsia" w:ascii="宋体" w:hAnsi="宋体" w:eastAsia="宋体" w:cs="宋体"/>
          <w:b/>
          <w:bCs/>
          <w:spacing w:val="-1"/>
          <w:sz w:val="21"/>
          <w:szCs w:val="21"/>
        </w:rPr>
        <w:t>确定中标</w:t>
      </w:r>
      <w:bookmarkEnd w:id="62"/>
      <w:bookmarkEnd w:id="63"/>
    </w:p>
    <w:p w14:paraId="698D89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64" w:name="_Toc13910"/>
      <w:r>
        <w:rPr>
          <w:rFonts w:hint="eastAsia" w:ascii="宋体" w:hAnsi="宋体" w:eastAsia="宋体" w:cs="宋体"/>
          <w:b/>
          <w:bCs/>
          <w:spacing w:val="-1"/>
          <w:sz w:val="21"/>
          <w:szCs w:val="21"/>
        </w:rPr>
        <w:t>22</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确定中标人</w:t>
      </w:r>
      <w:bookmarkEnd w:id="64"/>
    </w:p>
    <w:p w14:paraId="5765888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22.1采购人将在评标报告确定的中标候选人名单中按顺序确定中标人，中标候选</w:t>
      </w:r>
      <w:r>
        <w:rPr>
          <w:rFonts w:hint="eastAsia" w:ascii="宋体" w:hAnsi="宋体" w:eastAsia="宋体" w:cs="宋体"/>
          <w:spacing w:val="1"/>
          <w:sz w:val="21"/>
          <w:szCs w:val="21"/>
          <w:highlight w:val="none"/>
        </w:rPr>
        <w:t>人并列的，由采购人或者采购人委托评标委员会按照招标文件规定的方式确</w:t>
      </w:r>
      <w:r>
        <w:rPr>
          <w:rFonts w:hint="eastAsia" w:ascii="宋体" w:hAnsi="宋体" w:eastAsia="宋体" w:cs="宋体"/>
          <w:spacing w:val="-2"/>
          <w:sz w:val="21"/>
          <w:szCs w:val="21"/>
          <w:highlight w:val="none"/>
        </w:rPr>
        <w:t>定中标人；招标文件未规定的，采取随机抽取的方式确定。采购人是否委托</w:t>
      </w:r>
      <w:r>
        <w:rPr>
          <w:rFonts w:hint="eastAsia" w:ascii="宋体" w:hAnsi="宋体" w:eastAsia="宋体" w:cs="宋体"/>
          <w:spacing w:val="-5"/>
          <w:sz w:val="21"/>
          <w:szCs w:val="21"/>
          <w:highlight w:val="none"/>
        </w:rPr>
        <w:t>评标委员会直接确定中标人，见《投标人须知资料表》。中标候选人并列的，</w:t>
      </w:r>
      <w:r>
        <w:rPr>
          <w:rFonts w:hint="eastAsia" w:ascii="宋体" w:hAnsi="宋体" w:eastAsia="宋体" w:cs="宋体"/>
          <w:spacing w:val="-1"/>
          <w:sz w:val="21"/>
          <w:szCs w:val="21"/>
          <w:highlight w:val="none"/>
        </w:rPr>
        <w:t>按照《投标人须知资料表》要求确定中标人。</w:t>
      </w:r>
    </w:p>
    <w:p w14:paraId="74C359C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65" w:name="_Toc12380"/>
      <w:r>
        <w:rPr>
          <w:rFonts w:hint="eastAsia" w:ascii="宋体" w:hAnsi="宋体" w:eastAsia="宋体" w:cs="宋体"/>
          <w:b/>
          <w:bCs/>
          <w:spacing w:val="-1"/>
          <w:sz w:val="21"/>
          <w:szCs w:val="21"/>
        </w:rPr>
        <w:t>23</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中标公告与中标通知书</w:t>
      </w:r>
      <w:bookmarkEnd w:id="65"/>
    </w:p>
    <w:p w14:paraId="446BFC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23.1采购人或采购代理机构自中标人确定之日起2个工作日内，在政府采</w:t>
      </w:r>
      <w:r>
        <w:rPr>
          <w:rFonts w:hint="eastAsia" w:ascii="宋体" w:hAnsi="宋体" w:eastAsia="宋体" w:cs="宋体"/>
          <w:sz w:val="21"/>
          <w:szCs w:val="21"/>
        </w:rPr>
        <w:t>购网公告中标结果，同时向中标人发出中标通知书，中标公告</w:t>
      </w:r>
      <w:r>
        <w:rPr>
          <w:rFonts w:hint="eastAsia" w:ascii="宋体" w:hAnsi="宋体" w:eastAsia="宋体" w:cs="宋体"/>
          <w:spacing w:val="-1"/>
          <w:sz w:val="21"/>
          <w:szCs w:val="21"/>
        </w:rPr>
        <w:t>期限为1个工</w:t>
      </w:r>
      <w:r>
        <w:rPr>
          <w:rFonts w:hint="eastAsia" w:ascii="宋体" w:hAnsi="宋体" w:eastAsia="宋体" w:cs="宋体"/>
          <w:spacing w:val="-2"/>
          <w:sz w:val="21"/>
          <w:szCs w:val="21"/>
        </w:rPr>
        <w:t>作日。</w:t>
      </w:r>
    </w:p>
    <w:p w14:paraId="740DB6D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23.2中标通知书对采购人和中标供应商均</w:t>
      </w:r>
      <w:r>
        <w:rPr>
          <w:rFonts w:hint="eastAsia" w:ascii="宋体" w:hAnsi="宋体" w:eastAsia="宋体" w:cs="宋体"/>
          <w:spacing w:val="1"/>
          <w:sz w:val="21"/>
          <w:szCs w:val="21"/>
        </w:rPr>
        <w:t>具有法律效力。中标通知书发出后，采购人改变中标结果的，或者中标供应商放弃中标</w:t>
      </w:r>
      <w:r>
        <w:rPr>
          <w:rFonts w:hint="eastAsia" w:ascii="宋体" w:hAnsi="宋体" w:eastAsia="宋体" w:cs="宋体"/>
          <w:sz w:val="21"/>
          <w:szCs w:val="21"/>
        </w:rPr>
        <w:t>项目的，应当依法承担法律</w:t>
      </w:r>
      <w:r>
        <w:rPr>
          <w:rFonts w:hint="eastAsia" w:ascii="宋体" w:hAnsi="宋体" w:eastAsia="宋体" w:cs="宋体"/>
          <w:spacing w:val="-3"/>
          <w:sz w:val="21"/>
          <w:szCs w:val="21"/>
        </w:rPr>
        <w:t>责任。</w:t>
      </w:r>
    </w:p>
    <w:p w14:paraId="4E770EA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66" w:name="_Toc3622"/>
      <w:r>
        <w:rPr>
          <w:rFonts w:hint="eastAsia" w:ascii="宋体" w:hAnsi="宋体" w:eastAsia="宋体" w:cs="宋体"/>
          <w:b/>
          <w:bCs/>
          <w:spacing w:val="-1"/>
          <w:sz w:val="21"/>
          <w:szCs w:val="21"/>
        </w:rPr>
        <w:t>24</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废标</w:t>
      </w:r>
      <w:bookmarkEnd w:id="66"/>
    </w:p>
    <w:p w14:paraId="0C8D3A8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rPr>
      </w:pPr>
      <w:r>
        <w:rPr>
          <w:rFonts w:hint="eastAsia" w:ascii="宋体" w:hAnsi="宋体" w:eastAsia="宋体" w:cs="宋体"/>
          <w:sz w:val="21"/>
          <w:szCs w:val="21"/>
        </w:rPr>
        <w:t>24.1在招标采购中，出现下列情形之一的，应予废标：</w:t>
      </w:r>
    </w:p>
    <w:p w14:paraId="424655C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宋体" w:hAnsi="宋体" w:eastAsia="宋体" w:cs="宋体"/>
          <w:sz w:val="21"/>
          <w:szCs w:val="21"/>
        </w:rPr>
      </w:pPr>
      <w:r>
        <w:rPr>
          <w:rFonts w:hint="eastAsia" w:ascii="宋体" w:hAnsi="宋体" w:eastAsia="宋体" w:cs="宋体"/>
          <w:spacing w:val="6"/>
          <w:sz w:val="21"/>
          <w:szCs w:val="21"/>
        </w:rPr>
        <w:t>24.1.1符合专业条件的供应商或者对招标文件作实</w:t>
      </w:r>
      <w:r>
        <w:rPr>
          <w:rFonts w:hint="eastAsia" w:ascii="宋体" w:hAnsi="宋体" w:eastAsia="宋体" w:cs="宋体"/>
          <w:spacing w:val="5"/>
          <w:sz w:val="21"/>
          <w:szCs w:val="21"/>
        </w:rPr>
        <w:t>质响应的供应商不足三</w:t>
      </w:r>
      <w:r>
        <w:rPr>
          <w:rFonts w:hint="eastAsia" w:ascii="宋体" w:hAnsi="宋体" w:eastAsia="宋体" w:cs="宋体"/>
          <w:spacing w:val="-3"/>
          <w:sz w:val="21"/>
          <w:szCs w:val="21"/>
        </w:rPr>
        <w:t>家的；</w:t>
      </w:r>
    </w:p>
    <w:p w14:paraId="25E4E9C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24.1.2出现影响采购公正的违法、违规行为的；</w:t>
      </w:r>
    </w:p>
    <w:p w14:paraId="2F0FC25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24.1.3投标人的报价均超过了采购预算，采购人不能支付的；</w:t>
      </w:r>
    </w:p>
    <w:p w14:paraId="4469E39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24.1.4因重大变故，采购任务取消的。</w:t>
      </w:r>
    </w:p>
    <w:p w14:paraId="613AA9C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24.2废标后，采购人将废标理由书面通</w:t>
      </w:r>
      <w:r>
        <w:rPr>
          <w:rFonts w:hint="eastAsia" w:ascii="宋体" w:hAnsi="宋体" w:eastAsia="宋体" w:cs="宋体"/>
          <w:spacing w:val="1"/>
          <w:sz w:val="21"/>
          <w:szCs w:val="21"/>
        </w:rPr>
        <w:t>知所有投标人。</w:t>
      </w:r>
    </w:p>
    <w:p w14:paraId="621E23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67" w:name="_Toc21030"/>
      <w:r>
        <w:rPr>
          <w:rFonts w:hint="eastAsia" w:ascii="宋体" w:hAnsi="宋体" w:eastAsia="宋体" w:cs="宋体"/>
          <w:b/>
          <w:bCs/>
          <w:spacing w:val="-1"/>
          <w:sz w:val="21"/>
          <w:szCs w:val="21"/>
        </w:rPr>
        <w:t>25</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签订合同</w:t>
      </w:r>
      <w:bookmarkEnd w:id="67"/>
    </w:p>
    <w:p w14:paraId="439FF06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25.1中标人、采购人应当</w:t>
      </w:r>
      <w:r>
        <w:rPr>
          <w:rFonts w:hint="eastAsia" w:ascii="宋体" w:hAnsi="宋体" w:eastAsia="宋体" w:cs="宋体"/>
          <w:spacing w:val="-3"/>
          <w:sz w:val="21"/>
          <w:szCs w:val="21"/>
          <w:lang w:eastAsia="zh-CN"/>
        </w:rPr>
        <w:t>在</w:t>
      </w:r>
      <w:r>
        <w:rPr>
          <w:rFonts w:hint="eastAsia" w:ascii="宋体" w:hAnsi="宋体" w:eastAsia="宋体" w:cs="宋体"/>
          <w:spacing w:val="-3"/>
          <w:sz w:val="21"/>
          <w:szCs w:val="21"/>
          <w:lang w:val="en-US" w:eastAsia="zh-CN"/>
        </w:rPr>
        <w:t>投标人须知资料表中规定的时间</w:t>
      </w:r>
      <w:r>
        <w:rPr>
          <w:rFonts w:hint="eastAsia" w:ascii="宋体" w:hAnsi="宋体" w:eastAsia="宋体" w:cs="宋体"/>
          <w:spacing w:val="-3"/>
          <w:sz w:val="21"/>
          <w:szCs w:val="21"/>
        </w:rPr>
        <w:t>内，按照招标文件和中标</w:t>
      </w:r>
      <w:r>
        <w:rPr>
          <w:rFonts w:hint="eastAsia" w:ascii="宋体" w:hAnsi="宋体" w:eastAsia="宋体" w:cs="宋体"/>
          <w:spacing w:val="1"/>
          <w:sz w:val="21"/>
          <w:szCs w:val="21"/>
        </w:rPr>
        <w:t>人投标文件的规定签订书面合同。所签订的合同不得对招标文件确定的事项</w:t>
      </w:r>
      <w:r>
        <w:rPr>
          <w:rFonts w:hint="eastAsia" w:ascii="宋体" w:hAnsi="宋体" w:eastAsia="宋体" w:cs="宋体"/>
          <w:spacing w:val="-1"/>
          <w:sz w:val="21"/>
          <w:szCs w:val="21"/>
        </w:rPr>
        <w:t>和中标人投标文件作实质性修改。</w:t>
      </w:r>
    </w:p>
    <w:p w14:paraId="372CE0A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25.2中标人拒绝与采购人签订合同的，采</w:t>
      </w:r>
      <w:r>
        <w:rPr>
          <w:rFonts w:hint="eastAsia" w:ascii="宋体" w:hAnsi="宋体" w:eastAsia="宋体" w:cs="宋体"/>
          <w:spacing w:val="1"/>
          <w:sz w:val="21"/>
          <w:szCs w:val="21"/>
        </w:rPr>
        <w:t>购人可以按照评标报告推荐的中标候选</w:t>
      </w:r>
      <w:r>
        <w:rPr>
          <w:rFonts w:hint="eastAsia" w:ascii="宋体" w:hAnsi="宋体" w:eastAsia="宋体" w:cs="宋体"/>
          <w:spacing w:val="-2"/>
          <w:sz w:val="21"/>
          <w:szCs w:val="21"/>
        </w:rPr>
        <w:t>人名单排序，确定下一候选人为中标人，也可以重新开展政府采购活动。</w:t>
      </w:r>
    </w:p>
    <w:p w14:paraId="22E6BFB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25.3联合体中标的，联合体各方应当共同与采购人签订合同</w:t>
      </w:r>
      <w:r>
        <w:rPr>
          <w:rFonts w:hint="eastAsia" w:ascii="宋体" w:hAnsi="宋体" w:eastAsia="宋体" w:cs="宋体"/>
          <w:sz w:val="21"/>
          <w:szCs w:val="21"/>
        </w:rPr>
        <w:t>，就采购合同约定的</w:t>
      </w:r>
      <w:r>
        <w:rPr>
          <w:rFonts w:hint="eastAsia" w:ascii="宋体" w:hAnsi="宋体" w:eastAsia="宋体" w:cs="宋体"/>
          <w:spacing w:val="-1"/>
          <w:sz w:val="21"/>
          <w:szCs w:val="21"/>
        </w:rPr>
        <w:t>事项向采购人承担连带责任。</w:t>
      </w:r>
    </w:p>
    <w:p w14:paraId="17219A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25.4政府采购合同不能转包。</w:t>
      </w:r>
    </w:p>
    <w:p w14:paraId="6D42F6C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25.5采购人允许采用分包方式履行合同的，中标人可以依法在中标后将中标项目</w:t>
      </w:r>
      <w:r>
        <w:rPr>
          <w:rFonts w:hint="eastAsia" w:ascii="宋体" w:hAnsi="宋体" w:eastAsia="宋体" w:cs="宋体"/>
          <w:spacing w:val="-1"/>
          <w:sz w:val="21"/>
          <w:szCs w:val="21"/>
        </w:rPr>
        <w:t>的非主体、非关键性工作采取分包方式履行合同。本项目的非主体、非关键</w:t>
      </w:r>
      <w:r>
        <w:rPr>
          <w:rFonts w:hint="eastAsia" w:ascii="宋体" w:hAnsi="宋体" w:eastAsia="宋体" w:cs="宋体"/>
          <w:spacing w:val="-5"/>
          <w:sz w:val="21"/>
          <w:szCs w:val="21"/>
        </w:rPr>
        <w:t>性工作是否允许分包，见《投标人须知资料表》。政府采购合同分包履行的，</w:t>
      </w:r>
      <w:r>
        <w:rPr>
          <w:rFonts w:hint="eastAsia" w:ascii="宋体" w:hAnsi="宋体" w:eastAsia="宋体" w:cs="宋体"/>
          <w:spacing w:val="1"/>
          <w:sz w:val="21"/>
          <w:szCs w:val="21"/>
        </w:rPr>
        <w:t>应当在投标文件中载明分包承担主体，分包承担主体应</w:t>
      </w:r>
      <w:r>
        <w:rPr>
          <w:rFonts w:hint="eastAsia" w:ascii="宋体" w:hAnsi="宋体" w:eastAsia="宋体" w:cs="宋体"/>
          <w:sz w:val="21"/>
          <w:szCs w:val="21"/>
        </w:rPr>
        <w:t>当具备相应资质条件且不得再次分包</w:t>
      </w:r>
      <w:r>
        <w:rPr>
          <w:rFonts w:hint="eastAsia" w:ascii="宋体" w:hAnsi="宋体" w:eastAsia="宋体" w:cs="宋体"/>
          <w:b/>
          <w:bCs/>
          <w:sz w:val="21"/>
          <w:szCs w:val="21"/>
        </w:rPr>
        <w:t>，</w:t>
      </w:r>
      <w:r>
        <w:rPr>
          <w:rFonts w:hint="eastAsia" w:ascii="宋体" w:hAnsi="宋体" w:eastAsia="宋体" w:cs="宋体"/>
          <w:sz w:val="21"/>
          <w:szCs w:val="21"/>
        </w:rPr>
        <w:t>否则</w:t>
      </w:r>
      <w:r>
        <w:rPr>
          <w:rFonts w:hint="eastAsia" w:ascii="宋体" w:hAnsi="宋体" w:eastAsia="宋体" w:cs="宋体"/>
          <w:b/>
          <w:bCs/>
          <w:sz w:val="21"/>
          <w:szCs w:val="21"/>
        </w:rPr>
        <w:t>投标无效</w:t>
      </w:r>
      <w:r>
        <w:rPr>
          <w:rFonts w:hint="eastAsia" w:ascii="宋体" w:hAnsi="宋体" w:eastAsia="宋体" w:cs="宋体"/>
          <w:sz w:val="21"/>
          <w:szCs w:val="21"/>
        </w:rPr>
        <w:t>。中标人就采购项目和分包项目向采购人负</w:t>
      </w:r>
      <w:r>
        <w:rPr>
          <w:rFonts w:hint="eastAsia" w:ascii="宋体" w:hAnsi="宋体" w:eastAsia="宋体" w:cs="宋体"/>
          <w:spacing w:val="-1"/>
          <w:sz w:val="21"/>
          <w:szCs w:val="21"/>
        </w:rPr>
        <w:t>责，分包供应商就分包项目承担责任。</w:t>
      </w:r>
    </w:p>
    <w:p w14:paraId="1D6B2F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25.6“政采贷”融资指引：详见《投标人须知资料表》。</w:t>
      </w:r>
    </w:p>
    <w:p w14:paraId="6406C9A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68" w:name="_Toc27453"/>
      <w:r>
        <w:rPr>
          <w:rFonts w:hint="eastAsia" w:ascii="宋体" w:hAnsi="宋体" w:eastAsia="宋体" w:cs="宋体"/>
          <w:b/>
          <w:bCs/>
          <w:spacing w:val="-1"/>
          <w:sz w:val="21"/>
          <w:szCs w:val="21"/>
        </w:rPr>
        <w:t>26</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询问与质疑</w:t>
      </w:r>
      <w:bookmarkEnd w:id="68"/>
    </w:p>
    <w:p w14:paraId="38C977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宋体" w:hAnsi="宋体" w:eastAsia="宋体" w:cs="宋体"/>
          <w:sz w:val="21"/>
          <w:szCs w:val="21"/>
        </w:rPr>
      </w:pPr>
      <w:r>
        <w:rPr>
          <w:rFonts w:hint="eastAsia" w:ascii="宋体" w:hAnsi="宋体" w:eastAsia="宋体" w:cs="宋体"/>
          <w:spacing w:val="7"/>
          <w:sz w:val="21"/>
          <w:szCs w:val="21"/>
        </w:rPr>
        <w:t>26.1询问</w:t>
      </w:r>
    </w:p>
    <w:p w14:paraId="445ACC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26.1.1投标人对政府采购活动事项有疑问的，可依法向采购人或采购代理机</w:t>
      </w:r>
      <w:r>
        <w:rPr>
          <w:rFonts w:hint="eastAsia" w:ascii="宋体" w:hAnsi="宋体" w:eastAsia="宋体" w:cs="宋体"/>
          <w:spacing w:val="-7"/>
          <w:sz w:val="21"/>
          <w:szCs w:val="21"/>
        </w:rPr>
        <w:t>构提出询问，提出形式见《投标人须知资料表》。</w:t>
      </w:r>
    </w:p>
    <w:p w14:paraId="66F62BD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jc w:val="left"/>
        <w:textAlignment w:val="baseline"/>
        <w:rPr>
          <w:rFonts w:hint="eastAsia" w:ascii="宋体" w:hAnsi="宋体" w:eastAsia="宋体" w:cs="宋体"/>
          <w:sz w:val="21"/>
          <w:szCs w:val="21"/>
        </w:rPr>
      </w:pPr>
      <w:r>
        <w:rPr>
          <w:rFonts w:hint="eastAsia" w:ascii="宋体" w:hAnsi="宋体" w:eastAsia="宋体" w:cs="宋体"/>
          <w:spacing w:val="4"/>
          <w:sz w:val="21"/>
          <w:szCs w:val="21"/>
        </w:rPr>
        <w:t>26.1.2采购人或采购代理机构对供</w:t>
      </w:r>
      <w:r>
        <w:rPr>
          <w:rFonts w:hint="eastAsia" w:ascii="宋体" w:hAnsi="宋体" w:eastAsia="宋体" w:cs="宋体"/>
          <w:spacing w:val="3"/>
          <w:sz w:val="21"/>
          <w:szCs w:val="21"/>
        </w:rPr>
        <w:t>应商依法提出的询问，在3个工作日内</w:t>
      </w:r>
      <w:r>
        <w:rPr>
          <w:rFonts w:hint="eastAsia" w:ascii="宋体" w:hAnsi="宋体" w:eastAsia="宋体" w:cs="宋体"/>
          <w:spacing w:val="-1"/>
          <w:sz w:val="21"/>
          <w:szCs w:val="21"/>
        </w:rPr>
        <w:t>作出答复，但答复的内容不得涉及商业秘密。</w:t>
      </w:r>
    </w:p>
    <w:p w14:paraId="67945B1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宋体" w:hAnsi="宋体" w:eastAsia="宋体" w:cs="宋体"/>
          <w:sz w:val="21"/>
          <w:szCs w:val="21"/>
        </w:rPr>
      </w:pPr>
      <w:r>
        <w:rPr>
          <w:rFonts w:hint="eastAsia" w:ascii="宋体" w:hAnsi="宋体" w:eastAsia="宋体" w:cs="宋体"/>
          <w:spacing w:val="7"/>
          <w:sz w:val="21"/>
          <w:szCs w:val="21"/>
        </w:rPr>
        <w:t>26.2质疑</w:t>
      </w:r>
    </w:p>
    <w:p w14:paraId="4603DB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0" w:firstLineChars="200"/>
        <w:jc w:val="left"/>
        <w:textAlignment w:val="baseline"/>
        <w:rPr>
          <w:rFonts w:hint="eastAsia" w:ascii="宋体" w:hAnsi="宋体" w:eastAsia="宋体" w:cs="宋体"/>
          <w:sz w:val="21"/>
          <w:szCs w:val="21"/>
        </w:rPr>
      </w:pPr>
      <w:r>
        <w:rPr>
          <w:rFonts w:hint="eastAsia" w:ascii="宋体" w:hAnsi="宋体" w:eastAsia="宋体" w:cs="宋体"/>
          <w:spacing w:val="-5"/>
          <w:sz w:val="21"/>
          <w:szCs w:val="21"/>
        </w:rPr>
        <w:t>26.2.1投标人认为采购文件、采购过程、中标结果使自己的权益受到损害的，</w:t>
      </w:r>
      <w:r>
        <w:rPr>
          <w:rFonts w:hint="eastAsia" w:ascii="宋体" w:hAnsi="宋体" w:eastAsia="宋体" w:cs="宋体"/>
          <w:spacing w:val="2"/>
          <w:sz w:val="21"/>
          <w:szCs w:val="21"/>
        </w:rPr>
        <w:t>可以在知道或者应知其权益受到损害之日起7个工作日内，以书面</w:t>
      </w:r>
      <w:r>
        <w:rPr>
          <w:rFonts w:hint="eastAsia" w:ascii="宋体" w:hAnsi="宋体" w:eastAsia="宋体" w:cs="宋体"/>
          <w:spacing w:val="-4"/>
          <w:sz w:val="21"/>
          <w:szCs w:val="21"/>
        </w:rPr>
        <w:t>形式向采购人、采购代理机构提出质疑</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采购人、采购代理机构在收</w:t>
      </w:r>
      <w:r>
        <w:rPr>
          <w:rFonts w:hint="eastAsia" w:ascii="宋体" w:hAnsi="宋体" w:eastAsia="宋体" w:cs="宋体"/>
          <w:spacing w:val="3"/>
          <w:sz w:val="21"/>
          <w:szCs w:val="21"/>
        </w:rPr>
        <w:t>到质疑函后7个工作日内作出答复。</w:t>
      </w:r>
    </w:p>
    <w:p w14:paraId="73B7E6E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26.2.2质疑函须使用财政部制定的范本文件。投标人为自然人的，质疑函应</w:t>
      </w:r>
      <w:r>
        <w:rPr>
          <w:rFonts w:hint="eastAsia" w:ascii="宋体" w:hAnsi="宋体" w:eastAsia="宋体" w:cs="宋体"/>
          <w:spacing w:val="-4"/>
          <w:sz w:val="21"/>
          <w:szCs w:val="21"/>
        </w:rPr>
        <w:t>当由本人签字；投标人为法人或者其他组织的，质疑函应当由法定代</w:t>
      </w:r>
      <w:r>
        <w:rPr>
          <w:rFonts w:hint="eastAsia" w:ascii="宋体" w:hAnsi="宋体" w:eastAsia="宋体" w:cs="宋体"/>
          <w:spacing w:val="-2"/>
          <w:sz w:val="21"/>
          <w:szCs w:val="21"/>
        </w:rPr>
        <w:t>表人、主要负责人，或者其授权代表签字或者盖章，并加盖公章。</w:t>
      </w:r>
    </w:p>
    <w:p w14:paraId="0FCB9F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26.2.3投标人委托代理人进行质疑的，应当随质疑函同时提交投标人签署的</w:t>
      </w:r>
      <w:r>
        <w:rPr>
          <w:rFonts w:hint="eastAsia" w:ascii="宋体" w:hAnsi="宋体" w:eastAsia="宋体" w:cs="宋体"/>
          <w:spacing w:val="-9"/>
          <w:sz w:val="21"/>
          <w:szCs w:val="21"/>
        </w:rPr>
        <w:t>授权委托书。授权委托书应当载明代理人的姓名或者名称、代理事项、</w:t>
      </w:r>
      <w:r>
        <w:rPr>
          <w:rFonts w:hint="eastAsia" w:ascii="宋体" w:hAnsi="宋体" w:eastAsia="宋体" w:cs="宋体"/>
          <w:spacing w:val="-1"/>
          <w:sz w:val="21"/>
          <w:szCs w:val="21"/>
        </w:rPr>
        <w:t>具体权限、期限和相关事项。投标人为自然人的，应当由本人签字；</w:t>
      </w:r>
      <w:r>
        <w:rPr>
          <w:rFonts w:hint="eastAsia" w:ascii="宋体" w:hAnsi="宋体" w:eastAsia="宋体" w:cs="宋体"/>
          <w:spacing w:val="-4"/>
          <w:sz w:val="21"/>
          <w:szCs w:val="21"/>
        </w:rPr>
        <w:t>投标人为法人或者其他组织的，应当由法定代表人、主要负责人签字</w:t>
      </w:r>
      <w:r>
        <w:rPr>
          <w:rFonts w:hint="eastAsia" w:ascii="宋体" w:hAnsi="宋体" w:eastAsia="宋体" w:cs="宋体"/>
          <w:spacing w:val="-1"/>
          <w:sz w:val="21"/>
          <w:szCs w:val="21"/>
        </w:rPr>
        <w:t>或者盖章，并加盖公章。</w:t>
      </w:r>
    </w:p>
    <w:p w14:paraId="06B85E0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26.2.4投标人应在法定质疑期内一次性提出针对同一采购程序环</w:t>
      </w:r>
      <w:r>
        <w:rPr>
          <w:rFonts w:hint="eastAsia" w:ascii="宋体" w:hAnsi="宋体" w:eastAsia="宋体" w:cs="宋体"/>
          <w:sz w:val="21"/>
          <w:szCs w:val="21"/>
        </w:rPr>
        <w:t>节的质疑，</w:t>
      </w:r>
      <w:r>
        <w:rPr>
          <w:rFonts w:hint="eastAsia" w:ascii="宋体" w:hAnsi="宋体" w:eastAsia="宋体" w:cs="宋体"/>
          <w:spacing w:val="-4"/>
          <w:sz w:val="21"/>
          <w:szCs w:val="21"/>
        </w:rPr>
        <w:t>法定质疑期内针对同一采购程序环节再次提出的质疑，采购人、采购</w:t>
      </w:r>
      <w:r>
        <w:rPr>
          <w:rFonts w:hint="eastAsia" w:ascii="宋体" w:hAnsi="宋体" w:eastAsia="宋体" w:cs="宋体"/>
          <w:spacing w:val="-1"/>
          <w:sz w:val="21"/>
          <w:szCs w:val="21"/>
        </w:rPr>
        <w:t>代理机构有权不予答复。</w:t>
      </w:r>
    </w:p>
    <w:p w14:paraId="136D831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26.3接收询问和质疑的联系部门、联系电话和通讯地址见《投标人须知资料表》。</w:t>
      </w:r>
    </w:p>
    <w:p w14:paraId="7844757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69" w:name="_Toc14627"/>
      <w:r>
        <w:rPr>
          <w:rFonts w:hint="eastAsia" w:ascii="宋体" w:hAnsi="宋体" w:eastAsia="宋体" w:cs="宋体"/>
          <w:b/>
          <w:bCs/>
          <w:spacing w:val="-1"/>
          <w:sz w:val="21"/>
          <w:szCs w:val="21"/>
        </w:rPr>
        <w:t>27</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代理费</w:t>
      </w:r>
      <w:bookmarkEnd w:id="69"/>
    </w:p>
    <w:p w14:paraId="51DF7D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left"/>
        <w:textAlignment w:val="baseline"/>
        <w:rPr>
          <w:rFonts w:hint="eastAsia" w:ascii="宋体" w:hAnsi="宋体" w:eastAsia="宋体" w:cs="宋体"/>
          <w:sz w:val="24"/>
          <w:szCs w:val="24"/>
        </w:rPr>
        <w:sectPr>
          <w:footerReference r:id="rId9" w:type="default"/>
          <w:pgSz w:w="11905" w:h="16838"/>
          <w:pgMar w:top="1361" w:right="1417" w:bottom="1247" w:left="1417" w:header="839" w:footer="884" w:gutter="0"/>
          <w:pgNumType w:fmt="numberInDash"/>
          <w:cols w:space="0" w:num="1"/>
          <w:rtlGutter w:val="0"/>
          <w:docGrid w:linePitch="0" w:charSpace="0"/>
        </w:sectPr>
      </w:pPr>
      <w:r>
        <w:rPr>
          <w:rFonts w:hint="eastAsia" w:ascii="宋体" w:hAnsi="宋体" w:eastAsia="宋体" w:cs="宋体"/>
          <w:spacing w:val="-2"/>
          <w:sz w:val="21"/>
          <w:szCs w:val="21"/>
        </w:rPr>
        <w:t>27.1收费对象、收费标准及缴纳时间见《投标人须知资料表》。由中标人</w:t>
      </w:r>
      <w:r>
        <w:rPr>
          <w:rFonts w:hint="eastAsia" w:ascii="宋体" w:hAnsi="宋体" w:eastAsia="宋体" w:cs="宋体"/>
          <w:spacing w:val="-3"/>
          <w:sz w:val="21"/>
          <w:szCs w:val="21"/>
        </w:rPr>
        <w:t>支付的，</w:t>
      </w:r>
      <w:r>
        <w:rPr>
          <w:rFonts w:hint="eastAsia" w:ascii="宋体" w:hAnsi="宋体" w:eastAsia="宋体" w:cs="宋体"/>
          <w:spacing w:val="-1"/>
          <w:sz w:val="21"/>
          <w:szCs w:val="21"/>
        </w:rPr>
        <w:t>中标人须一次性向采购代理机构缴纳代理费，投标报价应包含代理费用。</w:t>
      </w:r>
    </w:p>
    <w:p w14:paraId="17AB9DE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b/>
          <w:bCs/>
          <w:spacing w:val="7"/>
          <w:sz w:val="30"/>
          <w:szCs w:val="30"/>
        </w:rPr>
      </w:pPr>
      <w:bookmarkStart w:id="70" w:name="_Toc9141"/>
      <w:bookmarkStart w:id="71" w:name="_Toc27298"/>
      <w:r>
        <w:rPr>
          <w:b/>
          <w:bCs/>
          <w:spacing w:val="7"/>
          <w:sz w:val="30"/>
          <w:szCs w:val="30"/>
        </w:rPr>
        <w:t>第三章</w:t>
      </w:r>
      <w:r>
        <w:rPr>
          <w:rFonts w:hint="eastAsia"/>
          <w:b/>
          <w:bCs/>
          <w:spacing w:val="7"/>
          <w:sz w:val="30"/>
          <w:szCs w:val="30"/>
          <w:lang w:val="en-US" w:eastAsia="zh-CN"/>
        </w:rPr>
        <w:t xml:space="preserve">  </w:t>
      </w:r>
      <w:r>
        <w:rPr>
          <w:b/>
          <w:bCs/>
          <w:spacing w:val="7"/>
          <w:sz w:val="30"/>
          <w:szCs w:val="30"/>
        </w:rPr>
        <w:t>资格审查</w:t>
      </w:r>
      <w:bookmarkEnd w:id="70"/>
      <w:bookmarkEnd w:id="71"/>
    </w:p>
    <w:p w14:paraId="75AA064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spacing w:val="-1"/>
          <w:sz w:val="21"/>
          <w:szCs w:val="21"/>
        </w:rPr>
      </w:pPr>
      <w:bookmarkStart w:id="72" w:name="_Toc25100"/>
      <w:bookmarkStart w:id="73" w:name="_Toc4222"/>
      <w:r>
        <w:rPr>
          <w:rFonts w:hint="eastAsia" w:ascii="宋体" w:hAnsi="宋体" w:eastAsia="宋体" w:cs="宋体"/>
          <w:b/>
          <w:bCs/>
          <w:spacing w:val="-1"/>
          <w:sz w:val="21"/>
          <w:szCs w:val="21"/>
        </w:rPr>
        <w:t>一、资格审查程序</w:t>
      </w:r>
      <w:bookmarkEnd w:id="72"/>
      <w:bookmarkEnd w:id="73"/>
    </w:p>
    <w:p w14:paraId="551663F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outlineLvl w:val="9"/>
        <w:rPr>
          <w:rFonts w:hint="eastAsia" w:ascii="宋体" w:hAnsi="宋体" w:eastAsia="宋体" w:cs="宋体"/>
          <w:sz w:val="21"/>
          <w:szCs w:val="21"/>
        </w:rPr>
      </w:pPr>
      <w:r>
        <w:rPr>
          <w:rFonts w:hint="eastAsia" w:ascii="宋体" w:hAnsi="宋体" w:eastAsia="宋体" w:cs="宋体"/>
          <w:spacing w:val="-1"/>
          <w:sz w:val="21"/>
          <w:szCs w:val="21"/>
        </w:rPr>
        <w:t>1</w:t>
      </w:r>
      <w:r>
        <w:rPr>
          <w:rFonts w:hint="eastAsia" w:ascii="宋体" w:hAnsi="宋体" w:eastAsia="宋体" w:cs="宋体"/>
          <w:spacing w:val="-1"/>
          <w:sz w:val="21"/>
          <w:szCs w:val="21"/>
          <w:lang w:val="en-US" w:eastAsia="zh-CN"/>
        </w:rPr>
        <w:t>.</w:t>
      </w:r>
      <w:r>
        <w:rPr>
          <w:rFonts w:hint="eastAsia" w:ascii="宋体" w:hAnsi="宋体" w:eastAsia="宋体" w:cs="宋体"/>
          <w:spacing w:val="-1"/>
          <w:sz w:val="21"/>
          <w:szCs w:val="21"/>
        </w:rPr>
        <w:t>开标结束后，采购人或采购代理机构将根据《资格审查要求》中的规定，对投标人进行资格审查，并形成资格审查结果。</w:t>
      </w:r>
    </w:p>
    <w:p w14:paraId="3013BC8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outlineLvl w:val="9"/>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《资格审查要求》中对格式有要求的，除招标文件另有规</w:t>
      </w:r>
      <w:r>
        <w:rPr>
          <w:rFonts w:hint="eastAsia" w:ascii="宋体" w:hAnsi="宋体" w:eastAsia="宋体" w:cs="宋体"/>
          <w:spacing w:val="-1"/>
          <w:sz w:val="21"/>
          <w:szCs w:val="21"/>
        </w:rPr>
        <w:t>定外，均为“实质性格式”</w:t>
      </w:r>
      <w:r>
        <w:rPr>
          <w:rFonts w:hint="eastAsia" w:ascii="宋体" w:hAnsi="宋体" w:eastAsia="宋体" w:cs="宋体"/>
          <w:spacing w:val="-3"/>
          <w:sz w:val="21"/>
          <w:szCs w:val="21"/>
        </w:rPr>
        <w:t>文件。</w:t>
      </w:r>
    </w:p>
    <w:p w14:paraId="228E61C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4" w:firstLineChars="200"/>
        <w:textAlignment w:val="baseline"/>
        <w:outlineLvl w:val="9"/>
        <w:rPr>
          <w:rFonts w:hint="eastAsia" w:ascii="宋体" w:hAnsi="宋体" w:eastAsia="宋体" w:cs="宋体"/>
          <w:sz w:val="21"/>
          <w:szCs w:val="21"/>
        </w:rPr>
      </w:pPr>
      <w:r>
        <w:rPr>
          <w:rFonts w:hint="eastAsia" w:ascii="宋体" w:hAnsi="宋体" w:eastAsia="宋体" w:cs="宋体"/>
          <w:spacing w:val="-4"/>
          <w:sz w:val="21"/>
          <w:szCs w:val="21"/>
        </w:rPr>
        <w:t>3</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投标人《资格证明文件》有任何一项不符合《资格审查要求》的，资格审查不合格，</w:t>
      </w:r>
      <w:r>
        <w:rPr>
          <w:rFonts w:hint="eastAsia" w:ascii="宋体" w:hAnsi="宋体" w:eastAsia="宋体" w:cs="宋体"/>
          <w:spacing w:val="-1"/>
          <w:sz w:val="21"/>
          <w:szCs w:val="21"/>
        </w:rPr>
        <w:t>其</w:t>
      </w:r>
      <w:r>
        <w:rPr>
          <w:rFonts w:hint="eastAsia" w:ascii="宋体" w:hAnsi="宋体" w:eastAsia="宋体" w:cs="宋体"/>
          <w:b/>
          <w:bCs/>
          <w:spacing w:val="-1"/>
          <w:sz w:val="21"/>
          <w:szCs w:val="21"/>
        </w:rPr>
        <w:t>投标无效</w:t>
      </w:r>
      <w:r>
        <w:rPr>
          <w:rFonts w:hint="eastAsia" w:ascii="宋体" w:hAnsi="宋体" w:eastAsia="宋体" w:cs="宋体"/>
          <w:spacing w:val="-1"/>
          <w:sz w:val="21"/>
          <w:szCs w:val="21"/>
        </w:rPr>
        <w:t>。</w:t>
      </w:r>
    </w:p>
    <w:p w14:paraId="0ACBB60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outlineLvl w:val="9"/>
        <w:rPr>
          <w:rFonts w:ascii="Arial"/>
          <w:sz w:val="21"/>
          <w:szCs w:val="21"/>
        </w:rPr>
      </w:pPr>
      <w:r>
        <w:rPr>
          <w:rFonts w:hint="eastAsia" w:ascii="宋体" w:hAnsi="宋体" w:eastAsia="宋体" w:cs="宋体"/>
          <w:spacing w:val="3"/>
          <w:sz w:val="21"/>
          <w:szCs w:val="21"/>
        </w:rPr>
        <w:t>4</w:t>
      </w:r>
      <w:r>
        <w:rPr>
          <w:rFonts w:hint="eastAsia" w:ascii="宋体" w:hAnsi="宋体" w:eastAsia="宋体" w:cs="宋体"/>
          <w:spacing w:val="3"/>
          <w:sz w:val="21"/>
          <w:szCs w:val="21"/>
          <w:lang w:val="en-US" w:eastAsia="zh-CN"/>
        </w:rPr>
        <w:t>.</w:t>
      </w:r>
      <w:r>
        <w:rPr>
          <w:rFonts w:hint="eastAsia" w:ascii="宋体" w:hAnsi="宋体" w:eastAsia="宋体" w:cs="宋体"/>
          <w:spacing w:val="3"/>
          <w:sz w:val="21"/>
          <w:szCs w:val="21"/>
        </w:rPr>
        <w:t>资格审查合格的投标人不足3家的，不进行评标。</w:t>
      </w:r>
    </w:p>
    <w:p w14:paraId="5BCAA83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spacing w:val="-1"/>
          <w:sz w:val="21"/>
          <w:szCs w:val="21"/>
        </w:rPr>
      </w:pPr>
      <w:bookmarkStart w:id="74" w:name="_Toc17312"/>
      <w:bookmarkStart w:id="75" w:name="_Toc3088"/>
      <w:r>
        <w:rPr>
          <w:rFonts w:hint="eastAsia" w:ascii="宋体" w:hAnsi="宋体" w:eastAsia="宋体" w:cs="宋体"/>
          <w:b/>
          <w:bCs/>
          <w:spacing w:val="-1"/>
          <w:sz w:val="21"/>
          <w:szCs w:val="21"/>
        </w:rPr>
        <w:t>二、资格审查要求</w:t>
      </w:r>
      <w:bookmarkEnd w:id="74"/>
      <w:bookmarkEnd w:id="75"/>
    </w:p>
    <w:p w14:paraId="6E0B026F">
      <w:pPr>
        <w:spacing w:line="138" w:lineRule="exact"/>
        <w:rPr>
          <w:sz w:val="21"/>
          <w:szCs w:val="21"/>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2CC37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49" w:type="dxa"/>
            <w:vAlign w:val="center"/>
          </w:tcPr>
          <w:p w14:paraId="2258F4E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序号</w:t>
            </w:r>
          </w:p>
        </w:tc>
        <w:tc>
          <w:tcPr>
            <w:tcW w:w="1981" w:type="dxa"/>
            <w:vAlign w:val="center"/>
          </w:tcPr>
          <w:p w14:paraId="486B1E2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审查因素</w:t>
            </w:r>
          </w:p>
        </w:tc>
        <w:tc>
          <w:tcPr>
            <w:tcW w:w="4819" w:type="dxa"/>
            <w:vAlign w:val="center"/>
          </w:tcPr>
          <w:p w14:paraId="37A1978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审查内容</w:t>
            </w:r>
          </w:p>
        </w:tc>
        <w:tc>
          <w:tcPr>
            <w:tcW w:w="1643" w:type="dxa"/>
            <w:vAlign w:val="center"/>
          </w:tcPr>
          <w:p w14:paraId="6184EC1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b/>
                <w:bCs/>
                <w:spacing w:val="-1"/>
                <w:sz w:val="21"/>
                <w:szCs w:val="21"/>
              </w:rPr>
              <w:t>要求</w:t>
            </w:r>
          </w:p>
        </w:tc>
      </w:tr>
      <w:tr w14:paraId="38C2B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49" w:type="dxa"/>
            <w:vAlign w:val="center"/>
          </w:tcPr>
          <w:p w14:paraId="23277A81">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1981" w:type="dxa"/>
            <w:vAlign w:val="center"/>
          </w:tcPr>
          <w:p w14:paraId="4943642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1"/>
                <w:sz w:val="21"/>
                <w:szCs w:val="21"/>
              </w:rPr>
              <w:t>满足《中华人民共和国政府采购</w:t>
            </w:r>
            <w:r>
              <w:rPr>
                <w:rFonts w:hint="eastAsia" w:ascii="宋体" w:hAnsi="宋体" w:eastAsia="宋体" w:cs="宋体"/>
                <w:spacing w:val="7"/>
                <w:sz w:val="21"/>
                <w:szCs w:val="21"/>
              </w:rPr>
              <w:t>法》第二十二条</w:t>
            </w:r>
            <w:r>
              <w:rPr>
                <w:rFonts w:hint="eastAsia" w:ascii="宋体" w:hAnsi="宋体" w:eastAsia="宋体" w:cs="宋体"/>
                <w:spacing w:val="-2"/>
                <w:sz w:val="21"/>
                <w:szCs w:val="21"/>
              </w:rPr>
              <w:t>规定</w:t>
            </w:r>
          </w:p>
        </w:tc>
        <w:tc>
          <w:tcPr>
            <w:tcW w:w="4819" w:type="dxa"/>
            <w:vAlign w:val="center"/>
          </w:tcPr>
          <w:p w14:paraId="0464FC1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z w:val="21"/>
                <w:szCs w:val="21"/>
              </w:rPr>
              <w:t>具体规定见第一章《投标邀请》</w:t>
            </w:r>
          </w:p>
        </w:tc>
        <w:tc>
          <w:tcPr>
            <w:tcW w:w="1643" w:type="dxa"/>
            <w:vAlign w:val="center"/>
          </w:tcPr>
          <w:p w14:paraId="7E751A95">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p>
        </w:tc>
      </w:tr>
      <w:tr w14:paraId="0499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49" w:type="dxa"/>
            <w:vAlign w:val="center"/>
          </w:tcPr>
          <w:p w14:paraId="4D849E2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1-1</w:t>
            </w:r>
          </w:p>
        </w:tc>
        <w:tc>
          <w:tcPr>
            <w:tcW w:w="1981" w:type="dxa"/>
            <w:vAlign w:val="center"/>
          </w:tcPr>
          <w:p w14:paraId="677E981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0"/>
                <w:sz w:val="21"/>
                <w:szCs w:val="21"/>
              </w:rPr>
              <w:t>营业执照等证明</w:t>
            </w:r>
            <w:r>
              <w:rPr>
                <w:rFonts w:hint="eastAsia" w:ascii="宋体" w:hAnsi="宋体" w:eastAsia="宋体" w:cs="宋体"/>
                <w:spacing w:val="-4"/>
                <w:sz w:val="21"/>
                <w:szCs w:val="21"/>
              </w:rPr>
              <w:t>文件</w:t>
            </w:r>
          </w:p>
        </w:tc>
        <w:tc>
          <w:tcPr>
            <w:tcW w:w="4819" w:type="dxa"/>
            <w:vAlign w:val="center"/>
          </w:tcPr>
          <w:p w14:paraId="51511119">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z w:val="21"/>
                <w:szCs w:val="21"/>
              </w:rPr>
              <w:t>投标人为企业（包括合伙企业）的，应提供</w:t>
            </w:r>
            <w:r>
              <w:rPr>
                <w:rFonts w:hint="eastAsia" w:ascii="宋体" w:hAnsi="宋体" w:eastAsia="宋体" w:cs="宋体"/>
                <w:spacing w:val="4"/>
                <w:sz w:val="21"/>
                <w:szCs w:val="21"/>
              </w:rPr>
              <w:t>有效的“营业执照”；</w:t>
            </w:r>
          </w:p>
          <w:p w14:paraId="153117B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投标人为事业单位的，应提供有效的“事业单</w:t>
            </w:r>
            <w:r>
              <w:rPr>
                <w:rFonts w:hint="eastAsia" w:ascii="宋体" w:hAnsi="宋体" w:eastAsia="宋体" w:cs="宋体"/>
                <w:spacing w:val="2"/>
                <w:sz w:val="21"/>
                <w:szCs w:val="21"/>
              </w:rPr>
              <w:t>位法人证书”；</w:t>
            </w:r>
          </w:p>
          <w:p w14:paraId="2AD69402">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投标人是非企业机构的，应提供有效的“执业</w:t>
            </w:r>
            <w:r>
              <w:rPr>
                <w:rFonts w:hint="eastAsia" w:ascii="宋体" w:hAnsi="宋体" w:eastAsia="宋体" w:cs="宋体"/>
                <w:spacing w:val="3"/>
                <w:sz w:val="21"/>
                <w:szCs w:val="21"/>
              </w:rPr>
              <w:t>许可证”、“登记证书”等证明文件；</w:t>
            </w:r>
          </w:p>
          <w:p w14:paraId="0D52EE9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投标人是个体工商户的，应提供有效的“个体</w:t>
            </w:r>
            <w:r>
              <w:rPr>
                <w:rFonts w:hint="eastAsia" w:ascii="宋体" w:hAnsi="宋体" w:eastAsia="宋体" w:cs="宋体"/>
                <w:spacing w:val="2"/>
                <w:sz w:val="21"/>
                <w:szCs w:val="21"/>
              </w:rPr>
              <w:t>工商户营业执照”；</w:t>
            </w:r>
          </w:p>
          <w:p w14:paraId="7239EEE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投标人是自然人的，应提供有效的自然人身</w:t>
            </w:r>
            <w:r>
              <w:rPr>
                <w:rFonts w:hint="eastAsia" w:ascii="宋体" w:hAnsi="宋体" w:eastAsia="宋体" w:cs="宋体"/>
                <w:spacing w:val="-2"/>
                <w:sz w:val="21"/>
                <w:szCs w:val="21"/>
              </w:rPr>
              <w:t>份证明。</w:t>
            </w:r>
          </w:p>
          <w:p w14:paraId="7D52EE7D">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分支机构参加投标的，应提供该分支机构或</w:t>
            </w:r>
            <w:r>
              <w:rPr>
                <w:rFonts w:hint="eastAsia" w:ascii="宋体" w:hAnsi="宋体" w:eastAsia="宋体" w:cs="宋体"/>
                <w:spacing w:val="-2"/>
                <w:sz w:val="21"/>
                <w:szCs w:val="21"/>
              </w:rPr>
              <w:t>其所属法人/其他组织的相应证明文件；同时</w:t>
            </w:r>
            <w:r>
              <w:rPr>
                <w:rFonts w:hint="eastAsia" w:ascii="宋体" w:hAnsi="宋体" w:eastAsia="宋体" w:cs="宋体"/>
                <w:spacing w:val="11"/>
                <w:sz w:val="21"/>
                <w:szCs w:val="21"/>
              </w:rPr>
              <w:t>还应提供其所属法人/其他组织出具的授权</w:t>
            </w:r>
            <w:r>
              <w:rPr>
                <w:rFonts w:hint="eastAsia" w:ascii="宋体" w:hAnsi="宋体" w:eastAsia="宋体" w:cs="宋体"/>
                <w:spacing w:val="-1"/>
                <w:sz w:val="21"/>
                <w:szCs w:val="21"/>
              </w:rPr>
              <w:t>其参与本项目的授权书（格式自拟，须加盖</w:t>
            </w:r>
            <w:r>
              <w:rPr>
                <w:rFonts w:hint="eastAsia" w:ascii="宋体" w:hAnsi="宋体" w:eastAsia="宋体" w:cs="宋体"/>
                <w:spacing w:val="2"/>
                <w:sz w:val="21"/>
                <w:szCs w:val="21"/>
              </w:rPr>
              <w:t>其所属法人/其他组织的公章</w:t>
            </w:r>
            <w:r>
              <w:rPr>
                <w:rFonts w:hint="eastAsia" w:ascii="宋体" w:hAnsi="宋体" w:eastAsia="宋体" w:cs="宋体"/>
                <w:spacing w:val="-46"/>
                <w:sz w:val="21"/>
                <w:szCs w:val="21"/>
              </w:rPr>
              <w:t>）；</w:t>
            </w:r>
            <w:r>
              <w:rPr>
                <w:rFonts w:hint="eastAsia" w:ascii="宋体" w:hAnsi="宋体" w:eastAsia="宋体" w:cs="宋体"/>
                <w:spacing w:val="2"/>
                <w:sz w:val="21"/>
                <w:szCs w:val="21"/>
              </w:rPr>
              <w:t>对于银行、</w:t>
            </w:r>
            <w:r>
              <w:rPr>
                <w:rFonts w:hint="eastAsia" w:ascii="宋体" w:hAnsi="宋体" w:eastAsia="宋体" w:cs="宋体"/>
                <w:spacing w:val="-3"/>
                <w:sz w:val="21"/>
                <w:szCs w:val="21"/>
              </w:rPr>
              <w:t>保险、石油石化、电力、电信等行业的分支机构，可以提供上述授权，也可以提供其所</w:t>
            </w:r>
            <w:r>
              <w:rPr>
                <w:rFonts w:hint="eastAsia" w:ascii="宋体" w:hAnsi="宋体" w:eastAsia="宋体" w:cs="宋体"/>
                <w:spacing w:val="11"/>
                <w:sz w:val="21"/>
                <w:szCs w:val="21"/>
              </w:rPr>
              <w:t>属法人/其他组织的有关文件或制度等能够证明授权其独立开展业务的证明材料。</w:t>
            </w:r>
          </w:p>
        </w:tc>
        <w:tc>
          <w:tcPr>
            <w:tcW w:w="1643" w:type="dxa"/>
            <w:vAlign w:val="center"/>
          </w:tcPr>
          <w:p w14:paraId="6EE91D5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提供证明文</w:t>
            </w:r>
            <w:r>
              <w:rPr>
                <w:rFonts w:hint="eastAsia" w:ascii="宋体" w:hAnsi="宋体" w:eastAsia="宋体" w:cs="宋体"/>
                <w:spacing w:val="43"/>
                <w:sz w:val="21"/>
                <w:szCs w:val="21"/>
              </w:rPr>
              <w:t>件的电子件</w:t>
            </w:r>
            <w:r>
              <w:rPr>
                <w:rFonts w:hint="eastAsia" w:ascii="宋体" w:hAnsi="宋体" w:eastAsia="宋体" w:cs="宋体"/>
                <w:spacing w:val="-2"/>
                <w:sz w:val="21"/>
                <w:szCs w:val="21"/>
              </w:rPr>
              <w:t>或电子证照</w:t>
            </w:r>
          </w:p>
        </w:tc>
      </w:tr>
      <w:tr w14:paraId="5B811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49" w:type="dxa"/>
            <w:vAlign w:val="center"/>
          </w:tcPr>
          <w:p w14:paraId="4E125ED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1-2</w:t>
            </w:r>
          </w:p>
        </w:tc>
        <w:tc>
          <w:tcPr>
            <w:tcW w:w="1981" w:type="dxa"/>
            <w:vAlign w:val="center"/>
          </w:tcPr>
          <w:p w14:paraId="4B01355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1"/>
                <w:sz w:val="21"/>
                <w:szCs w:val="21"/>
              </w:rPr>
              <w:t>投标人资格声明</w:t>
            </w:r>
            <w:r>
              <w:rPr>
                <w:rFonts w:hint="eastAsia" w:ascii="宋体" w:hAnsi="宋体" w:eastAsia="宋体" w:cs="宋体"/>
                <w:sz w:val="21"/>
                <w:szCs w:val="21"/>
              </w:rPr>
              <w:t>书</w:t>
            </w:r>
          </w:p>
        </w:tc>
        <w:tc>
          <w:tcPr>
            <w:tcW w:w="4819" w:type="dxa"/>
            <w:vAlign w:val="center"/>
          </w:tcPr>
          <w:p w14:paraId="16496DB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提供了符合招标文件要求的《投标人资格声</w:t>
            </w:r>
            <w:r>
              <w:rPr>
                <w:rFonts w:hint="eastAsia" w:ascii="宋体" w:hAnsi="宋体" w:eastAsia="宋体" w:cs="宋体"/>
                <w:spacing w:val="-28"/>
                <w:w w:val="98"/>
                <w:sz w:val="21"/>
                <w:szCs w:val="21"/>
              </w:rPr>
              <w:t>明书》。</w:t>
            </w:r>
          </w:p>
        </w:tc>
        <w:tc>
          <w:tcPr>
            <w:tcW w:w="1643" w:type="dxa"/>
            <w:vAlign w:val="center"/>
          </w:tcPr>
          <w:p w14:paraId="324BBC3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格式见《投标</w:t>
            </w:r>
            <w:r>
              <w:rPr>
                <w:rFonts w:hint="eastAsia" w:ascii="宋体" w:hAnsi="宋体" w:eastAsia="宋体" w:cs="宋体"/>
                <w:spacing w:val="2"/>
                <w:sz w:val="21"/>
                <w:szCs w:val="21"/>
              </w:rPr>
              <w:t>文件格式》</w:t>
            </w:r>
          </w:p>
        </w:tc>
      </w:tr>
      <w:tr w14:paraId="264E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49" w:type="dxa"/>
            <w:vAlign w:val="center"/>
          </w:tcPr>
          <w:p w14:paraId="33867D73">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1-3</w:t>
            </w:r>
          </w:p>
        </w:tc>
        <w:tc>
          <w:tcPr>
            <w:tcW w:w="1981" w:type="dxa"/>
            <w:vAlign w:val="center"/>
          </w:tcPr>
          <w:p w14:paraId="05D2B56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投标人信用记录</w:t>
            </w:r>
          </w:p>
        </w:tc>
        <w:tc>
          <w:tcPr>
            <w:tcW w:w="4819" w:type="dxa"/>
            <w:vAlign w:val="center"/>
          </w:tcPr>
          <w:p w14:paraId="775E456D">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2"/>
                <w:sz w:val="21"/>
                <w:szCs w:val="21"/>
              </w:rPr>
              <w:t>查询渠道：信用中国网站和中国政府采购网</w:t>
            </w:r>
            <w:r>
              <w:rPr>
                <w:rFonts w:hint="eastAsia" w:ascii="宋体" w:hAnsi="宋体" w:eastAsia="宋体" w:cs="宋体"/>
                <w:spacing w:val="24"/>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HYPERLINK"https://www.creditchina.gov.cn"</w:instrText>
            </w:r>
            <w:r>
              <w:rPr>
                <w:rFonts w:hint="eastAsia" w:ascii="宋体" w:hAnsi="宋体" w:eastAsia="宋体" w:cs="宋体"/>
                <w:sz w:val="21"/>
                <w:szCs w:val="21"/>
              </w:rPr>
              <w:fldChar w:fldCharType="separate"/>
            </w:r>
            <w:r>
              <w:rPr>
                <w:rFonts w:hint="eastAsia" w:ascii="宋体" w:hAnsi="宋体" w:eastAsia="宋体" w:cs="宋体"/>
                <w:sz w:val="21"/>
                <w:szCs w:val="21"/>
              </w:rPr>
              <w:t>www</w:t>
            </w:r>
            <w:r>
              <w:rPr>
                <w:rFonts w:hint="eastAsia" w:ascii="宋体" w:hAnsi="宋体" w:eastAsia="宋体" w:cs="宋体"/>
                <w:spacing w:val="24"/>
                <w:sz w:val="21"/>
                <w:szCs w:val="21"/>
              </w:rPr>
              <w:t>.</w:t>
            </w:r>
            <w:r>
              <w:rPr>
                <w:rFonts w:hint="eastAsia" w:ascii="宋体" w:hAnsi="宋体" w:eastAsia="宋体" w:cs="宋体"/>
                <w:sz w:val="21"/>
                <w:szCs w:val="21"/>
              </w:rPr>
              <w:t>creditchina</w:t>
            </w:r>
            <w:r>
              <w:rPr>
                <w:rFonts w:hint="eastAsia" w:ascii="宋体" w:hAnsi="宋体" w:eastAsia="宋体" w:cs="宋体"/>
                <w:spacing w:val="24"/>
                <w:sz w:val="21"/>
                <w:szCs w:val="21"/>
              </w:rPr>
              <w:t>.</w:t>
            </w:r>
            <w:r>
              <w:rPr>
                <w:rFonts w:hint="eastAsia" w:ascii="宋体" w:hAnsi="宋体" w:eastAsia="宋体" w:cs="宋体"/>
                <w:sz w:val="21"/>
                <w:szCs w:val="21"/>
              </w:rPr>
              <w:t>gov</w:t>
            </w:r>
            <w:r>
              <w:rPr>
                <w:rFonts w:hint="eastAsia" w:ascii="宋体" w:hAnsi="宋体" w:eastAsia="宋体" w:cs="宋体"/>
                <w:spacing w:val="24"/>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24"/>
                <w:sz w:val="21"/>
                <w:szCs w:val="21"/>
              </w:rPr>
              <w:t>、</w:t>
            </w:r>
          </w:p>
          <w:p w14:paraId="27F661C2">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HYPERLINK"https://www.ccgp.gov.cn"</w:instrText>
            </w:r>
            <w:r>
              <w:rPr>
                <w:rFonts w:hint="eastAsia" w:ascii="宋体" w:hAnsi="宋体" w:eastAsia="宋体" w:cs="宋体"/>
                <w:sz w:val="21"/>
                <w:szCs w:val="21"/>
              </w:rPr>
              <w:fldChar w:fldCharType="separate"/>
            </w:r>
            <w:r>
              <w:rPr>
                <w:rFonts w:hint="eastAsia" w:ascii="宋体" w:hAnsi="宋体" w:eastAsia="宋体" w:cs="宋体"/>
                <w:spacing w:val="16"/>
                <w:sz w:val="21"/>
                <w:szCs w:val="21"/>
              </w:rPr>
              <w:t>www.ccgp.gov.cn</w:t>
            </w:r>
            <w:r>
              <w:rPr>
                <w:rFonts w:hint="eastAsia" w:ascii="宋体" w:hAnsi="宋体" w:eastAsia="宋体" w:cs="宋体"/>
                <w:spacing w:val="16"/>
                <w:sz w:val="21"/>
                <w:szCs w:val="21"/>
              </w:rPr>
              <w:fldChar w:fldCharType="end"/>
            </w:r>
            <w:r>
              <w:rPr>
                <w:rFonts w:hint="eastAsia" w:ascii="宋体" w:hAnsi="宋体" w:eastAsia="宋体" w:cs="宋体"/>
                <w:spacing w:val="-51"/>
                <w:w w:val="90"/>
                <w:sz w:val="21"/>
                <w:szCs w:val="21"/>
              </w:rPr>
              <w:t>）；</w:t>
            </w:r>
          </w:p>
          <w:p w14:paraId="28E5B33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z w:val="21"/>
                <w:szCs w:val="21"/>
              </w:rPr>
              <w:t>截止时点：投标截止时间以后、资格审查阶</w:t>
            </w:r>
            <w:r>
              <w:rPr>
                <w:rFonts w:hint="eastAsia" w:ascii="宋体" w:hAnsi="宋体" w:eastAsia="宋体" w:cs="宋体"/>
                <w:spacing w:val="-1"/>
                <w:sz w:val="21"/>
                <w:szCs w:val="21"/>
              </w:rPr>
              <w:t>段采购人或采购代理机构的实际查询时间；</w:t>
            </w:r>
            <w:r>
              <w:rPr>
                <w:rFonts w:hint="eastAsia" w:ascii="宋体" w:hAnsi="宋体" w:eastAsia="宋体" w:cs="宋体"/>
                <w:spacing w:val="2"/>
                <w:sz w:val="21"/>
                <w:szCs w:val="21"/>
              </w:rPr>
              <w:t>信用信息查询记录和证据留存具体方式：查</w:t>
            </w:r>
            <w:r>
              <w:rPr>
                <w:rFonts w:hint="eastAsia" w:ascii="宋体" w:hAnsi="宋体" w:eastAsia="宋体" w:cs="宋体"/>
                <w:spacing w:val="-1"/>
                <w:sz w:val="21"/>
                <w:szCs w:val="21"/>
              </w:rPr>
              <w:t>询结果网页打印页作为查询记录和证据，与其他采购文件一并保存；</w:t>
            </w:r>
          </w:p>
          <w:p w14:paraId="0724FE9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信用信息的使用原则：经认定的被列入失信被执行人、重大税收违法案件当事人名单、</w:t>
            </w:r>
            <w:r>
              <w:rPr>
                <w:rFonts w:hint="eastAsia" w:ascii="宋体" w:hAnsi="宋体" w:eastAsia="宋体" w:cs="宋体"/>
                <w:spacing w:val="2"/>
                <w:sz w:val="21"/>
                <w:szCs w:val="21"/>
              </w:rPr>
              <w:t>政府采购严重违法失信行为记录名单的投标</w:t>
            </w:r>
            <w:r>
              <w:rPr>
                <w:rFonts w:hint="eastAsia" w:ascii="宋体" w:hAnsi="宋体" w:eastAsia="宋体" w:cs="宋体"/>
                <w:spacing w:val="-2"/>
                <w:sz w:val="21"/>
                <w:szCs w:val="21"/>
              </w:rPr>
              <w:t>人，其</w:t>
            </w:r>
            <w:r>
              <w:rPr>
                <w:rFonts w:hint="eastAsia" w:ascii="宋体" w:hAnsi="宋体" w:eastAsia="宋体" w:cs="宋体"/>
                <w:b/>
                <w:bCs/>
                <w:spacing w:val="-2"/>
                <w:sz w:val="21"/>
                <w:szCs w:val="21"/>
              </w:rPr>
              <w:t>投标无效</w:t>
            </w:r>
            <w:r>
              <w:rPr>
                <w:rFonts w:hint="eastAsia" w:ascii="宋体" w:hAnsi="宋体" w:eastAsia="宋体" w:cs="宋体"/>
                <w:spacing w:val="-2"/>
                <w:sz w:val="21"/>
                <w:szCs w:val="21"/>
              </w:rPr>
              <w:t>。联合体形式投标的，联合</w:t>
            </w:r>
            <w:r>
              <w:rPr>
                <w:rFonts w:hint="eastAsia" w:ascii="宋体" w:hAnsi="宋体" w:eastAsia="宋体" w:cs="宋体"/>
                <w:spacing w:val="-1"/>
                <w:sz w:val="21"/>
                <w:szCs w:val="21"/>
              </w:rPr>
              <w:t>体成员存在不良信用记录，视同联合体存在不良信用记录。</w:t>
            </w:r>
          </w:p>
        </w:tc>
        <w:tc>
          <w:tcPr>
            <w:tcW w:w="1643" w:type="dxa"/>
            <w:vAlign w:val="center"/>
          </w:tcPr>
          <w:p w14:paraId="68FB770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4"/>
                <w:sz w:val="21"/>
                <w:szCs w:val="21"/>
              </w:rPr>
              <w:t>无须投标人</w:t>
            </w:r>
            <w:r>
              <w:rPr>
                <w:rFonts w:hint="eastAsia" w:ascii="宋体" w:hAnsi="宋体" w:eastAsia="宋体" w:cs="宋体"/>
                <w:spacing w:val="-11"/>
                <w:sz w:val="21"/>
                <w:szCs w:val="21"/>
              </w:rPr>
              <w:t>提供，由采购</w:t>
            </w:r>
            <w:r>
              <w:rPr>
                <w:rFonts w:hint="eastAsia" w:ascii="宋体" w:hAnsi="宋体" w:eastAsia="宋体" w:cs="宋体"/>
                <w:spacing w:val="43"/>
                <w:sz w:val="21"/>
                <w:szCs w:val="21"/>
              </w:rPr>
              <w:t>人或采购代</w:t>
            </w:r>
            <w:r>
              <w:rPr>
                <w:rFonts w:hint="eastAsia" w:ascii="宋体" w:hAnsi="宋体" w:eastAsia="宋体" w:cs="宋体"/>
                <w:spacing w:val="-6"/>
                <w:sz w:val="21"/>
                <w:szCs w:val="21"/>
              </w:rPr>
              <w:t>理机构查询。</w:t>
            </w:r>
          </w:p>
        </w:tc>
      </w:tr>
      <w:tr w14:paraId="6286B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49" w:type="dxa"/>
            <w:vAlign w:val="center"/>
          </w:tcPr>
          <w:p w14:paraId="23E61135">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1-4</w:t>
            </w:r>
          </w:p>
        </w:tc>
        <w:tc>
          <w:tcPr>
            <w:tcW w:w="1981" w:type="dxa"/>
            <w:vAlign w:val="center"/>
          </w:tcPr>
          <w:p w14:paraId="47A7D11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法律、行政法规</w:t>
            </w:r>
            <w:r>
              <w:rPr>
                <w:rFonts w:hint="eastAsia" w:ascii="宋体" w:hAnsi="宋体" w:eastAsia="宋体" w:cs="宋体"/>
                <w:spacing w:val="-1"/>
                <w:sz w:val="21"/>
                <w:szCs w:val="21"/>
              </w:rPr>
              <w:t>规定的其他条件</w:t>
            </w:r>
          </w:p>
        </w:tc>
        <w:tc>
          <w:tcPr>
            <w:tcW w:w="4819" w:type="dxa"/>
            <w:vAlign w:val="center"/>
          </w:tcPr>
          <w:p w14:paraId="2166389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法律、行政法规规定的其他条件</w:t>
            </w:r>
          </w:p>
        </w:tc>
        <w:tc>
          <w:tcPr>
            <w:tcW w:w="1643" w:type="dxa"/>
            <w:vAlign w:val="center"/>
          </w:tcPr>
          <w:p w14:paraId="67BE98FD">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4"/>
                <w:sz w:val="21"/>
                <w:szCs w:val="21"/>
              </w:rPr>
              <w:t>/</w:t>
            </w:r>
          </w:p>
        </w:tc>
      </w:tr>
      <w:tr w14:paraId="346C7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849" w:type="dxa"/>
            <w:vAlign w:val="center"/>
          </w:tcPr>
          <w:p w14:paraId="2DF6D56D">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981" w:type="dxa"/>
            <w:vAlign w:val="center"/>
          </w:tcPr>
          <w:p w14:paraId="108C03F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1"/>
                <w:sz w:val="21"/>
                <w:szCs w:val="21"/>
              </w:rPr>
              <w:t>本项目的特定资</w:t>
            </w:r>
            <w:r>
              <w:rPr>
                <w:rFonts w:hint="eastAsia" w:ascii="宋体" w:hAnsi="宋体" w:eastAsia="宋体" w:cs="宋体"/>
                <w:spacing w:val="-2"/>
                <w:sz w:val="21"/>
                <w:szCs w:val="21"/>
              </w:rPr>
              <w:t>格要求</w:t>
            </w:r>
          </w:p>
        </w:tc>
        <w:tc>
          <w:tcPr>
            <w:tcW w:w="4819" w:type="dxa"/>
            <w:vAlign w:val="center"/>
          </w:tcPr>
          <w:p w14:paraId="67E18F2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z w:val="21"/>
                <w:szCs w:val="21"/>
              </w:rPr>
              <w:t>如有，见第一章《投标邀请》</w:t>
            </w:r>
          </w:p>
        </w:tc>
        <w:tc>
          <w:tcPr>
            <w:tcW w:w="1643" w:type="dxa"/>
            <w:vAlign w:val="center"/>
          </w:tcPr>
          <w:p w14:paraId="540515A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提供证明文</w:t>
            </w:r>
            <w:r>
              <w:rPr>
                <w:rFonts w:hint="eastAsia" w:ascii="宋体" w:hAnsi="宋体" w:eastAsia="宋体" w:cs="宋体"/>
                <w:spacing w:val="43"/>
                <w:sz w:val="21"/>
                <w:szCs w:val="21"/>
              </w:rPr>
              <w:t>件的电子件</w:t>
            </w:r>
            <w:r>
              <w:rPr>
                <w:rFonts w:hint="eastAsia" w:ascii="宋体" w:hAnsi="宋体" w:eastAsia="宋体" w:cs="宋体"/>
                <w:spacing w:val="-2"/>
                <w:sz w:val="21"/>
                <w:szCs w:val="21"/>
              </w:rPr>
              <w:t>或电子证照</w:t>
            </w:r>
          </w:p>
        </w:tc>
      </w:tr>
    </w:tbl>
    <w:p w14:paraId="46A8646C">
      <w:pPr>
        <w:rPr>
          <w:rFonts w:ascii="Arial"/>
          <w:sz w:val="21"/>
        </w:rPr>
      </w:pPr>
    </w:p>
    <w:p w14:paraId="2DF0B63F">
      <w:pPr>
        <w:rPr>
          <w:rFonts w:ascii="Arial" w:hAnsi="Arial" w:eastAsia="Arial" w:cs="Arial"/>
          <w:sz w:val="21"/>
          <w:szCs w:val="21"/>
        </w:rPr>
        <w:sectPr>
          <w:headerReference r:id="rId10" w:type="default"/>
          <w:footerReference r:id="rId11" w:type="default"/>
          <w:pgSz w:w="11905" w:h="16838"/>
          <w:pgMar w:top="1361" w:right="1417" w:bottom="1247" w:left="1417" w:header="839" w:footer="884" w:gutter="0"/>
          <w:pgNumType w:fmt="numberInDash"/>
          <w:cols w:space="0" w:num="1"/>
          <w:rtlGutter w:val="0"/>
          <w:docGrid w:linePitch="0" w:charSpace="0"/>
        </w:sectPr>
      </w:pPr>
    </w:p>
    <w:p w14:paraId="19D1EB6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b/>
          <w:bCs/>
          <w:spacing w:val="7"/>
          <w:sz w:val="30"/>
          <w:szCs w:val="30"/>
        </w:rPr>
      </w:pPr>
      <w:bookmarkStart w:id="76" w:name="_Toc27216"/>
      <w:bookmarkStart w:id="77" w:name="_Toc15709"/>
      <w:r>
        <w:rPr>
          <w:b/>
          <w:bCs/>
          <w:spacing w:val="7"/>
          <w:sz w:val="30"/>
          <w:szCs w:val="30"/>
        </w:rPr>
        <w:t>第四章</w:t>
      </w:r>
      <w:r>
        <w:rPr>
          <w:rFonts w:hint="eastAsia"/>
          <w:b/>
          <w:bCs/>
          <w:spacing w:val="7"/>
          <w:sz w:val="30"/>
          <w:szCs w:val="30"/>
          <w:lang w:val="en-US" w:eastAsia="zh-CN"/>
        </w:rPr>
        <w:t xml:space="preserve">  </w:t>
      </w:r>
      <w:r>
        <w:rPr>
          <w:b/>
          <w:bCs/>
          <w:spacing w:val="7"/>
          <w:sz w:val="30"/>
          <w:szCs w:val="30"/>
        </w:rPr>
        <w:t>评标程序、评标方法和评标标准</w:t>
      </w:r>
      <w:bookmarkEnd w:id="76"/>
      <w:bookmarkEnd w:id="77"/>
    </w:p>
    <w:p w14:paraId="0AE9347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spacing w:val="-1"/>
          <w:sz w:val="21"/>
          <w:szCs w:val="21"/>
        </w:rPr>
      </w:pPr>
      <w:bookmarkStart w:id="78" w:name="_Toc15129"/>
      <w:bookmarkStart w:id="79" w:name="_Toc28777"/>
      <w:r>
        <w:rPr>
          <w:rFonts w:hint="eastAsia" w:ascii="宋体" w:hAnsi="宋体" w:eastAsia="宋体" w:cs="宋体"/>
          <w:b/>
          <w:bCs/>
          <w:spacing w:val="-1"/>
          <w:sz w:val="21"/>
          <w:szCs w:val="21"/>
        </w:rPr>
        <w:t>一、评标方法</w:t>
      </w:r>
      <w:bookmarkEnd w:id="78"/>
      <w:bookmarkEnd w:id="79"/>
    </w:p>
    <w:p w14:paraId="6E79B44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80" w:name="_Toc21479"/>
      <w:r>
        <w:rPr>
          <w:rFonts w:hint="eastAsia" w:ascii="宋体" w:hAnsi="宋体" w:eastAsia="宋体" w:cs="宋体"/>
          <w:b/>
          <w:bCs/>
          <w:spacing w:val="-1"/>
          <w:sz w:val="21"/>
          <w:szCs w:val="21"/>
        </w:rPr>
        <w:t>1</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投标文件的符合性审查</w:t>
      </w:r>
      <w:bookmarkEnd w:id="80"/>
    </w:p>
    <w:p w14:paraId="1CE0DE1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1.1评标委员会对资格审查合格的投标人的投标文件进行符合性审查，</w:t>
      </w:r>
      <w:r>
        <w:rPr>
          <w:rFonts w:hint="eastAsia" w:ascii="宋体" w:hAnsi="宋体" w:eastAsia="宋体" w:cs="宋体"/>
          <w:spacing w:val="1"/>
          <w:sz w:val="21"/>
          <w:szCs w:val="21"/>
        </w:rPr>
        <w:t>以确定其</w:t>
      </w:r>
      <w:r>
        <w:rPr>
          <w:rFonts w:hint="eastAsia" w:ascii="宋体" w:hAnsi="宋体" w:eastAsia="宋体" w:cs="宋体"/>
          <w:spacing w:val="-1"/>
          <w:sz w:val="21"/>
          <w:szCs w:val="21"/>
        </w:rPr>
        <w:t>是否满足招标文件的实质性要求。</w:t>
      </w:r>
    </w:p>
    <w:p w14:paraId="0F17B52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1.2评标委员会根据《符合性审查要求》</w:t>
      </w:r>
      <w:r>
        <w:rPr>
          <w:rFonts w:hint="eastAsia" w:ascii="宋体" w:hAnsi="宋体" w:eastAsia="宋体" w:cs="宋体"/>
          <w:spacing w:val="1"/>
          <w:sz w:val="21"/>
          <w:szCs w:val="21"/>
        </w:rPr>
        <w:t>中规定的审查因素和审查内容，对投标</w:t>
      </w:r>
      <w:r>
        <w:rPr>
          <w:rFonts w:hint="eastAsia" w:ascii="宋体" w:hAnsi="宋体" w:eastAsia="宋体" w:cs="宋体"/>
          <w:spacing w:val="2"/>
          <w:sz w:val="21"/>
          <w:szCs w:val="21"/>
        </w:rPr>
        <w:t>人的投标文件是否实质上响应招标文件进行符合性审查，并形成符合性审查评审结果。投标人《商务技术文件》有任何一项</w:t>
      </w:r>
      <w:r>
        <w:rPr>
          <w:rFonts w:hint="eastAsia" w:ascii="宋体" w:hAnsi="宋体" w:eastAsia="宋体" w:cs="宋体"/>
          <w:spacing w:val="1"/>
          <w:sz w:val="21"/>
          <w:szCs w:val="21"/>
        </w:rPr>
        <w:t>不符合《符合性审查要求》</w:t>
      </w:r>
      <w:r>
        <w:rPr>
          <w:rFonts w:hint="eastAsia" w:ascii="宋体" w:hAnsi="宋体" w:eastAsia="宋体" w:cs="宋体"/>
          <w:spacing w:val="-1"/>
          <w:sz w:val="21"/>
          <w:szCs w:val="21"/>
        </w:rPr>
        <w:t>要求的，</w:t>
      </w:r>
      <w:r>
        <w:rPr>
          <w:rFonts w:hint="eastAsia" w:ascii="宋体" w:hAnsi="宋体" w:eastAsia="宋体" w:cs="宋体"/>
          <w:b/>
          <w:bCs/>
          <w:spacing w:val="-1"/>
          <w:sz w:val="21"/>
          <w:szCs w:val="21"/>
        </w:rPr>
        <w:t>投标无效</w:t>
      </w:r>
      <w:r>
        <w:rPr>
          <w:rFonts w:hint="eastAsia" w:ascii="宋体" w:hAnsi="宋体" w:eastAsia="宋体" w:cs="宋体"/>
          <w:spacing w:val="-1"/>
          <w:sz w:val="21"/>
          <w:szCs w:val="21"/>
        </w:rPr>
        <w:t>。</w:t>
      </w:r>
    </w:p>
    <w:p w14:paraId="7F8ABB52">
      <w:pPr>
        <w:pStyle w:val="2"/>
        <w:spacing w:before="1" w:line="200" w:lineRule="auto"/>
        <w:ind w:left="3634"/>
        <w:rPr>
          <w:sz w:val="21"/>
          <w:szCs w:val="21"/>
        </w:rPr>
      </w:pPr>
      <w:r>
        <w:rPr>
          <w:b/>
          <w:bCs/>
          <w:spacing w:val="-1"/>
          <w:sz w:val="21"/>
          <w:szCs w:val="21"/>
        </w:rPr>
        <w:t>符合性审查要求</w:t>
      </w:r>
    </w:p>
    <w:p w14:paraId="2C3BFBAE">
      <w:pPr>
        <w:spacing w:line="137" w:lineRule="exact"/>
        <w:rPr>
          <w:sz w:val="21"/>
          <w:szCs w:val="21"/>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26F2C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top"/>
          </w:tcPr>
          <w:p w14:paraId="3A3B8AA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序号</w:t>
            </w:r>
          </w:p>
        </w:tc>
        <w:tc>
          <w:tcPr>
            <w:tcW w:w="1812" w:type="dxa"/>
            <w:vAlign w:val="top"/>
          </w:tcPr>
          <w:p w14:paraId="0108AAB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审查因素</w:t>
            </w:r>
          </w:p>
        </w:tc>
        <w:tc>
          <w:tcPr>
            <w:tcW w:w="6726" w:type="dxa"/>
            <w:vAlign w:val="top"/>
          </w:tcPr>
          <w:p w14:paraId="06A3EB6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b/>
                <w:bCs/>
                <w:spacing w:val="-3"/>
                <w:sz w:val="21"/>
                <w:szCs w:val="21"/>
              </w:rPr>
              <w:t>审查内容</w:t>
            </w:r>
          </w:p>
        </w:tc>
      </w:tr>
      <w:tr w14:paraId="2C3B5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5FA915FE">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z w:val="21"/>
                <w:szCs w:val="21"/>
              </w:rPr>
              <w:t>1</w:t>
            </w:r>
          </w:p>
        </w:tc>
        <w:tc>
          <w:tcPr>
            <w:tcW w:w="1812" w:type="dxa"/>
            <w:vAlign w:val="center"/>
          </w:tcPr>
          <w:p w14:paraId="3FA5329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授权委托书</w:t>
            </w:r>
          </w:p>
        </w:tc>
        <w:tc>
          <w:tcPr>
            <w:tcW w:w="6726" w:type="dxa"/>
            <w:vAlign w:val="top"/>
          </w:tcPr>
          <w:p w14:paraId="0146A31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hint="eastAsia" w:ascii="宋体" w:hAnsi="宋体" w:eastAsia="宋体" w:cs="宋体"/>
                <w:sz w:val="21"/>
                <w:szCs w:val="21"/>
              </w:rPr>
            </w:pPr>
            <w:r>
              <w:rPr>
                <w:rFonts w:hint="eastAsia" w:ascii="宋体" w:hAnsi="宋体" w:eastAsia="宋体" w:cs="宋体"/>
                <w:spacing w:val="-1"/>
                <w:sz w:val="21"/>
                <w:szCs w:val="21"/>
              </w:rPr>
              <w:t>按招标文件要求提供授权委托书；</w:t>
            </w:r>
          </w:p>
        </w:tc>
      </w:tr>
      <w:tr w14:paraId="79DC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345052D2">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1"/>
                <w:sz w:val="21"/>
                <w:szCs w:val="21"/>
              </w:rPr>
              <w:t>2</w:t>
            </w:r>
          </w:p>
        </w:tc>
        <w:tc>
          <w:tcPr>
            <w:tcW w:w="1812" w:type="dxa"/>
            <w:vAlign w:val="center"/>
          </w:tcPr>
          <w:p w14:paraId="7E5694B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投标完整性</w:t>
            </w:r>
          </w:p>
        </w:tc>
        <w:tc>
          <w:tcPr>
            <w:tcW w:w="6726" w:type="dxa"/>
            <w:vAlign w:val="top"/>
          </w:tcPr>
          <w:p w14:paraId="475FBD6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hint="eastAsia" w:ascii="宋体" w:hAnsi="宋体" w:eastAsia="宋体" w:cs="宋体"/>
                <w:sz w:val="21"/>
                <w:szCs w:val="21"/>
              </w:rPr>
            </w:pPr>
            <w:r>
              <w:rPr>
                <w:rFonts w:hint="eastAsia" w:ascii="宋体" w:hAnsi="宋体" w:eastAsia="宋体" w:cs="宋体"/>
                <w:spacing w:val="-1"/>
                <w:sz w:val="21"/>
                <w:szCs w:val="21"/>
              </w:rPr>
              <w:t>未将一个采购包中的内容拆分投标；</w:t>
            </w:r>
          </w:p>
        </w:tc>
      </w:tr>
      <w:tr w14:paraId="46FD6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7CD7693F">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z w:val="21"/>
                <w:szCs w:val="21"/>
              </w:rPr>
              <w:t>3</w:t>
            </w:r>
          </w:p>
        </w:tc>
        <w:tc>
          <w:tcPr>
            <w:tcW w:w="1812" w:type="dxa"/>
            <w:vAlign w:val="center"/>
          </w:tcPr>
          <w:p w14:paraId="1414CBD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投标报价</w:t>
            </w:r>
          </w:p>
        </w:tc>
        <w:tc>
          <w:tcPr>
            <w:tcW w:w="6726" w:type="dxa"/>
            <w:vAlign w:val="top"/>
          </w:tcPr>
          <w:p w14:paraId="68A15D79">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hint="eastAsia" w:ascii="宋体" w:hAnsi="宋体" w:eastAsia="宋体" w:cs="宋体"/>
                <w:sz w:val="21"/>
                <w:szCs w:val="21"/>
              </w:rPr>
            </w:pPr>
            <w:r>
              <w:rPr>
                <w:rFonts w:hint="eastAsia" w:ascii="宋体" w:hAnsi="宋体" w:eastAsia="宋体" w:cs="宋体"/>
                <w:sz w:val="21"/>
                <w:szCs w:val="21"/>
              </w:rPr>
              <w:t>投标报价未超过招标文件中规定的项目/采购包预算金额或者项目/采购包最高限价；</w:t>
            </w:r>
          </w:p>
        </w:tc>
      </w:tr>
      <w:tr w14:paraId="64DB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194C27CC">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7"/>
                <w:sz w:val="21"/>
                <w:szCs w:val="21"/>
              </w:rPr>
              <w:t>4</w:t>
            </w:r>
          </w:p>
        </w:tc>
        <w:tc>
          <w:tcPr>
            <w:tcW w:w="1812" w:type="dxa"/>
            <w:vAlign w:val="center"/>
          </w:tcPr>
          <w:p w14:paraId="0AC0B0C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报价唯一性</w:t>
            </w:r>
          </w:p>
        </w:tc>
        <w:tc>
          <w:tcPr>
            <w:tcW w:w="6726" w:type="dxa"/>
            <w:vAlign w:val="top"/>
          </w:tcPr>
          <w:p w14:paraId="2894D22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hint="eastAsia" w:ascii="宋体" w:hAnsi="宋体" w:eastAsia="宋体" w:cs="宋体"/>
                <w:sz w:val="21"/>
                <w:szCs w:val="21"/>
              </w:rPr>
            </w:pPr>
            <w:r>
              <w:rPr>
                <w:rFonts w:hint="eastAsia" w:ascii="宋体" w:hAnsi="宋体" w:eastAsia="宋体" w:cs="宋体"/>
                <w:sz w:val="21"/>
                <w:szCs w:val="21"/>
              </w:rPr>
              <w:t>投标文件未出现可选择性或可调整的报价（招</w:t>
            </w:r>
            <w:r>
              <w:rPr>
                <w:rFonts w:hint="eastAsia" w:ascii="宋体" w:hAnsi="宋体" w:eastAsia="宋体" w:cs="宋体"/>
                <w:spacing w:val="-1"/>
                <w:sz w:val="21"/>
                <w:szCs w:val="21"/>
              </w:rPr>
              <w:t>标文件另有规定</w:t>
            </w:r>
            <w:r>
              <w:rPr>
                <w:rFonts w:hint="eastAsia" w:ascii="宋体" w:hAnsi="宋体" w:eastAsia="宋体" w:cs="宋体"/>
                <w:spacing w:val="-9"/>
                <w:sz w:val="21"/>
                <w:szCs w:val="21"/>
              </w:rPr>
              <w:t>的除外</w:t>
            </w:r>
            <w:r>
              <w:rPr>
                <w:rFonts w:hint="eastAsia" w:ascii="宋体" w:hAnsi="宋体" w:eastAsia="宋体" w:cs="宋体"/>
                <w:sz w:val="21"/>
                <w:szCs w:val="21"/>
              </w:rPr>
              <w:t>）；</w:t>
            </w:r>
          </w:p>
        </w:tc>
      </w:tr>
      <w:tr w14:paraId="62A79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7DB92CBC">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z w:val="21"/>
                <w:szCs w:val="21"/>
              </w:rPr>
              <w:t>5</w:t>
            </w:r>
          </w:p>
        </w:tc>
        <w:tc>
          <w:tcPr>
            <w:tcW w:w="1812" w:type="dxa"/>
            <w:vAlign w:val="center"/>
          </w:tcPr>
          <w:p w14:paraId="7766CB5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投标有效期</w:t>
            </w:r>
          </w:p>
        </w:tc>
        <w:tc>
          <w:tcPr>
            <w:tcW w:w="6726" w:type="dxa"/>
            <w:vAlign w:val="top"/>
          </w:tcPr>
          <w:p w14:paraId="25FEFBB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hint="eastAsia" w:ascii="宋体" w:hAnsi="宋体" w:eastAsia="宋体" w:cs="宋体"/>
                <w:sz w:val="21"/>
                <w:szCs w:val="21"/>
              </w:rPr>
            </w:pPr>
            <w:r>
              <w:rPr>
                <w:rFonts w:hint="eastAsia" w:ascii="宋体" w:hAnsi="宋体" w:eastAsia="宋体" w:cs="宋体"/>
                <w:sz w:val="21"/>
                <w:szCs w:val="21"/>
              </w:rPr>
              <w:t>投标文件中承诺的投标有效期满足招标文件中</w:t>
            </w:r>
            <w:r>
              <w:rPr>
                <w:rFonts w:hint="eastAsia" w:ascii="宋体" w:hAnsi="宋体" w:eastAsia="宋体" w:cs="宋体"/>
                <w:spacing w:val="-1"/>
                <w:sz w:val="21"/>
                <w:szCs w:val="21"/>
              </w:rPr>
              <w:t>载明的投标有效</w:t>
            </w:r>
            <w:r>
              <w:rPr>
                <w:rFonts w:hint="eastAsia" w:ascii="宋体" w:hAnsi="宋体" w:eastAsia="宋体" w:cs="宋体"/>
                <w:spacing w:val="-2"/>
                <w:sz w:val="21"/>
                <w:szCs w:val="21"/>
              </w:rPr>
              <w:t>期的；</w:t>
            </w:r>
          </w:p>
        </w:tc>
      </w:tr>
      <w:tr w14:paraId="7011B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1FAA575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6</w:t>
            </w:r>
          </w:p>
        </w:tc>
        <w:tc>
          <w:tcPr>
            <w:tcW w:w="1812" w:type="dxa"/>
            <w:vAlign w:val="center"/>
          </w:tcPr>
          <w:p w14:paraId="352AE0F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实质性格式</w:t>
            </w:r>
          </w:p>
        </w:tc>
        <w:tc>
          <w:tcPr>
            <w:tcW w:w="6726" w:type="dxa"/>
            <w:vAlign w:val="top"/>
          </w:tcPr>
          <w:p w14:paraId="6DE4DC89">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hint="eastAsia" w:ascii="宋体" w:hAnsi="宋体" w:eastAsia="宋体" w:cs="宋体"/>
                <w:sz w:val="21"/>
                <w:szCs w:val="21"/>
              </w:rPr>
            </w:pPr>
            <w:r>
              <w:rPr>
                <w:rFonts w:hint="eastAsia" w:ascii="宋体" w:hAnsi="宋体" w:eastAsia="宋体" w:cs="宋体"/>
                <w:sz w:val="21"/>
                <w:szCs w:val="21"/>
              </w:rPr>
              <w:t>标记为“实质性格式”的文件均按招标文件要求提供且签署、盖</w:t>
            </w:r>
            <w:r>
              <w:rPr>
                <w:rFonts w:hint="eastAsia" w:ascii="宋体" w:hAnsi="宋体" w:eastAsia="宋体" w:cs="宋体"/>
                <w:spacing w:val="-3"/>
                <w:sz w:val="21"/>
                <w:szCs w:val="21"/>
              </w:rPr>
              <w:t>章的；</w:t>
            </w:r>
          </w:p>
        </w:tc>
      </w:tr>
      <w:tr w14:paraId="565E2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4326C3F9">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z w:val="21"/>
                <w:szCs w:val="21"/>
              </w:rPr>
              <w:t>7</w:t>
            </w:r>
          </w:p>
        </w:tc>
        <w:tc>
          <w:tcPr>
            <w:tcW w:w="1812" w:type="dxa"/>
            <w:vAlign w:val="center"/>
          </w:tcPr>
          <w:p w14:paraId="71DECBD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★号条款响应</w:t>
            </w:r>
          </w:p>
        </w:tc>
        <w:tc>
          <w:tcPr>
            <w:tcW w:w="6726" w:type="dxa"/>
            <w:vAlign w:val="top"/>
          </w:tcPr>
          <w:p w14:paraId="5F4CEE8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4"/>
                <w:sz w:val="21"/>
                <w:szCs w:val="21"/>
              </w:rPr>
              <w:t>投标文件满足招标文件第五章《采购需求》中★号条款要求的；</w:t>
            </w:r>
          </w:p>
        </w:tc>
      </w:tr>
      <w:tr w14:paraId="1C66F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68DF4DA6">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2"/>
                <w:sz w:val="21"/>
                <w:szCs w:val="21"/>
              </w:rPr>
              <w:t>8</w:t>
            </w:r>
          </w:p>
        </w:tc>
        <w:tc>
          <w:tcPr>
            <w:tcW w:w="1812" w:type="dxa"/>
            <w:shd w:val="clear" w:color="auto" w:fill="auto"/>
            <w:vAlign w:val="center"/>
          </w:tcPr>
          <w:p w14:paraId="21086F8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3"/>
                <w:sz w:val="21"/>
                <w:szCs w:val="21"/>
              </w:rPr>
              <w:t>报价的修正（如</w:t>
            </w:r>
            <w:r>
              <w:rPr>
                <w:rFonts w:hint="eastAsia" w:ascii="宋体" w:hAnsi="宋体" w:eastAsia="宋体" w:cs="宋体"/>
                <w:spacing w:val="2"/>
                <w:sz w:val="21"/>
                <w:szCs w:val="21"/>
              </w:rPr>
              <w:t>有）</w:t>
            </w:r>
          </w:p>
        </w:tc>
        <w:tc>
          <w:tcPr>
            <w:tcW w:w="6726" w:type="dxa"/>
            <w:shd w:val="clear" w:color="auto" w:fill="auto"/>
            <w:vAlign w:val="top"/>
          </w:tcPr>
          <w:p w14:paraId="1C0E6F5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不涉及报价修正，或投标文件报价出现前后不一致时，投标人</w:t>
            </w:r>
            <w:r>
              <w:rPr>
                <w:rFonts w:hint="eastAsia" w:ascii="宋体" w:hAnsi="宋体" w:eastAsia="宋体" w:cs="宋体"/>
                <w:spacing w:val="5"/>
                <w:sz w:val="21"/>
                <w:szCs w:val="21"/>
              </w:rPr>
              <w:t>对修正后的报价予以确认</w:t>
            </w:r>
            <w:r>
              <w:rPr>
                <w:rFonts w:hint="eastAsia" w:ascii="宋体" w:hAnsi="宋体" w:eastAsia="宋体" w:cs="宋体"/>
                <w:spacing w:val="-53"/>
                <w:sz w:val="21"/>
                <w:szCs w:val="21"/>
              </w:rPr>
              <w:t>；（</w:t>
            </w:r>
            <w:r>
              <w:rPr>
                <w:rFonts w:hint="eastAsia" w:ascii="宋体" w:hAnsi="宋体" w:eastAsia="宋体" w:cs="宋体"/>
                <w:spacing w:val="5"/>
                <w:sz w:val="21"/>
                <w:szCs w:val="21"/>
              </w:rPr>
              <w:t>如有）</w:t>
            </w:r>
          </w:p>
        </w:tc>
      </w:tr>
      <w:tr w14:paraId="5C00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6E876CAA">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9</w:t>
            </w:r>
          </w:p>
        </w:tc>
        <w:tc>
          <w:tcPr>
            <w:tcW w:w="1812" w:type="dxa"/>
            <w:shd w:val="clear" w:color="auto" w:fill="auto"/>
            <w:vAlign w:val="center"/>
          </w:tcPr>
          <w:p w14:paraId="2153973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报价合理性</w:t>
            </w:r>
          </w:p>
        </w:tc>
        <w:tc>
          <w:tcPr>
            <w:tcW w:w="6726" w:type="dxa"/>
            <w:shd w:val="clear" w:color="auto" w:fill="auto"/>
            <w:vAlign w:val="top"/>
          </w:tcPr>
          <w:p w14:paraId="093E6F9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报价合理，或投标人的报价明显低于其他通过符合性审查投标人的报价，有可能影响产品质量或者不能诚信履约的，能够应</w:t>
            </w:r>
            <w:r>
              <w:rPr>
                <w:rFonts w:hint="eastAsia" w:ascii="宋体" w:hAnsi="宋体" w:eastAsia="宋体" w:cs="宋体"/>
                <w:sz w:val="21"/>
                <w:szCs w:val="21"/>
              </w:rPr>
              <w:t>评标委员会要求在规定时间内证明其报价合</w:t>
            </w:r>
            <w:r>
              <w:rPr>
                <w:rFonts w:hint="eastAsia" w:ascii="宋体" w:hAnsi="宋体" w:eastAsia="宋体" w:cs="宋体"/>
                <w:spacing w:val="-1"/>
                <w:sz w:val="21"/>
                <w:szCs w:val="21"/>
              </w:rPr>
              <w:t>理性的；</w:t>
            </w:r>
          </w:p>
        </w:tc>
      </w:tr>
      <w:tr w14:paraId="7E8CD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43A93AE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10</w:t>
            </w:r>
          </w:p>
        </w:tc>
        <w:tc>
          <w:tcPr>
            <w:tcW w:w="1812" w:type="dxa"/>
            <w:shd w:val="clear" w:color="auto" w:fill="auto"/>
            <w:vAlign w:val="center"/>
          </w:tcPr>
          <w:p w14:paraId="20A641F3">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国家有关部门</w:t>
            </w:r>
            <w:r>
              <w:rPr>
                <w:rFonts w:hint="eastAsia" w:ascii="宋体" w:hAnsi="宋体" w:eastAsia="宋体" w:cs="宋体"/>
                <w:spacing w:val="-1"/>
                <w:sz w:val="21"/>
                <w:szCs w:val="21"/>
              </w:rPr>
              <w:t>对投标人的投标产品有强制性规定或要求</w:t>
            </w:r>
            <w:r>
              <w:rPr>
                <w:rFonts w:hint="eastAsia" w:ascii="宋体" w:hAnsi="宋体" w:eastAsia="宋体" w:cs="宋体"/>
                <w:sz w:val="21"/>
                <w:szCs w:val="21"/>
              </w:rPr>
              <w:t>的</w:t>
            </w:r>
          </w:p>
        </w:tc>
        <w:tc>
          <w:tcPr>
            <w:tcW w:w="6726" w:type="dxa"/>
            <w:shd w:val="clear" w:color="auto" w:fill="auto"/>
            <w:vAlign w:val="top"/>
          </w:tcPr>
          <w:p w14:paraId="0DAA2A3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国家有关部门对投标人的投标产品有强制性规定或要</w:t>
            </w:r>
            <w:r>
              <w:rPr>
                <w:rFonts w:hint="eastAsia" w:ascii="宋体" w:hAnsi="宋体" w:eastAsia="宋体" w:cs="宋体"/>
                <w:spacing w:val="-2"/>
                <w:sz w:val="21"/>
                <w:szCs w:val="21"/>
              </w:rPr>
              <w:t>求的（如</w:t>
            </w:r>
            <w:r>
              <w:rPr>
                <w:rFonts w:hint="eastAsia" w:ascii="宋体" w:hAnsi="宋体" w:eastAsia="宋体" w:cs="宋体"/>
                <w:spacing w:val="-1"/>
                <w:sz w:val="21"/>
                <w:szCs w:val="21"/>
              </w:rPr>
              <w:t>相应技术、安全、节能和环保等</w:t>
            </w:r>
            <w:r>
              <w:rPr>
                <w:rFonts w:hint="eastAsia" w:ascii="宋体" w:hAnsi="宋体" w:eastAsia="宋体" w:cs="宋体"/>
                <w:spacing w:val="9"/>
                <w:sz w:val="21"/>
                <w:szCs w:val="21"/>
              </w:rPr>
              <w:t>），</w:t>
            </w:r>
            <w:r>
              <w:rPr>
                <w:rFonts w:hint="eastAsia" w:ascii="宋体" w:hAnsi="宋体" w:eastAsia="宋体" w:cs="宋体"/>
                <w:spacing w:val="-1"/>
                <w:sz w:val="21"/>
                <w:szCs w:val="21"/>
              </w:rPr>
              <w:t>投标人的投标产品应符合相应规定或要求，并提供证明文件电子件：</w:t>
            </w:r>
          </w:p>
          <w:p w14:paraId="4C2041AF">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textAlignment w:val="baseline"/>
              <w:rPr>
                <w:rFonts w:hint="eastAsia" w:ascii="宋体" w:hAnsi="宋体" w:eastAsia="宋体" w:cs="宋体"/>
                <w:sz w:val="21"/>
                <w:szCs w:val="21"/>
              </w:rPr>
            </w:pPr>
            <w:r>
              <w:rPr>
                <w:rFonts w:hint="eastAsia" w:ascii="宋体" w:hAnsi="宋体" w:eastAsia="宋体" w:cs="宋体"/>
                <w:spacing w:val="-1"/>
                <w:sz w:val="21"/>
                <w:szCs w:val="21"/>
              </w:rPr>
              <w:t>1）采购的产品若属于《节能产品政府采购品目清单》范围中</w:t>
            </w:r>
            <w:r>
              <w:rPr>
                <w:rFonts w:hint="eastAsia" w:ascii="宋体" w:hAnsi="宋体" w:eastAsia="宋体" w:cs="宋体"/>
                <w:sz w:val="21"/>
                <w:szCs w:val="21"/>
              </w:rPr>
              <w:t>政府强制采购产品，则投标人所报产品必须获得国家</w:t>
            </w:r>
            <w:r>
              <w:rPr>
                <w:rFonts w:hint="eastAsia" w:ascii="宋体" w:hAnsi="宋体" w:eastAsia="宋体" w:cs="宋体"/>
                <w:spacing w:val="-1"/>
                <w:sz w:val="21"/>
                <w:szCs w:val="21"/>
              </w:rPr>
              <w:t>确定的认</w:t>
            </w:r>
            <w:r>
              <w:rPr>
                <w:rFonts w:hint="eastAsia" w:ascii="宋体" w:hAnsi="宋体" w:eastAsia="宋体" w:cs="宋体"/>
                <w:sz w:val="21"/>
                <w:szCs w:val="21"/>
              </w:rPr>
              <w:t>证机构出具的、处于有效期之内的节能产品认</w:t>
            </w:r>
            <w:r>
              <w:rPr>
                <w:rFonts w:hint="eastAsia" w:ascii="宋体" w:hAnsi="宋体" w:eastAsia="宋体" w:cs="宋体"/>
                <w:spacing w:val="-1"/>
                <w:sz w:val="21"/>
                <w:szCs w:val="21"/>
              </w:rPr>
              <w:t>证证书；</w:t>
            </w:r>
          </w:p>
          <w:p w14:paraId="4EFB5B63">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2）所投产品属于列入《网络关键设备和网络安全专用产品目</w:t>
            </w:r>
            <w:r>
              <w:rPr>
                <w:rFonts w:hint="eastAsia" w:ascii="宋体" w:hAnsi="宋体" w:eastAsia="宋体" w:cs="宋体"/>
                <w:sz w:val="21"/>
                <w:szCs w:val="21"/>
              </w:rPr>
              <w:t>录》的网络安全专用产品时，应当按照《信息安全</w:t>
            </w:r>
            <w:r>
              <w:rPr>
                <w:rFonts w:hint="eastAsia" w:ascii="宋体" w:hAnsi="宋体" w:eastAsia="宋体" w:cs="宋体"/>
                <w:spacing w:val="-1"/>
                <w:sz w:val="21"/>
                <w:szCs w:val="21"/>
              </w:rPr>
              <w:t>技术网络安全专用产品安全技术要求》等相关国家标准的强</w:t>
            </w:r>
            <w:r>
              <w:rPr>
                <w:rFonts w:hint="eastAsia" w:ascii="宋体" w:hAnsi="宋体" w:eastAsia="宋体" w:cs="宋体"/>
                <w:spacing w:val="-2"/>
                <w:sz w:val="21"/>
                <w:szCs w:val="21"/>
              </w:rPr>
              <w:t>制性要求，由</w:t>
            </w:r>
            <w:r>
              <w:rPr>
                <w:rFonts w:hint="eastAsia" w:ascii="宋体" w:hAnsi="宋体" w:eastAsia="宋体" w:cs="宋体"/>
                <w:spacing w:val="2"/>
                <w:sz w:val="21"/>
                <w:szCs w:val="21"/>
              </w:rPr>
              <w:t>具备资格的机构安全认证合格或者安全检测符合要求</w:t>
            </w:r>
            <w:r>
              <w:rPr>
                <w:rFonts w:hint="eastAsia" w:ascii="宋体" w:hAnsi="宋体" w:eastAsia="宋体" w:cs="宋体"/>
                <w:spacing w:val="-33"/>
                <w:w w:val="57"/>
                <w:sz w:val="21"/>
                <w:szCs w:val="21"/>
              </w:rPr>
              <w:t>；（</w:t>
            </w:r>
            <w:r>
              <w:rPr>
                <w:rFonts w:hint="eastAsia" w:ascii="宋体" w:hAnsi="宋体" w:eastAsia="宋体" w:cs="宋体"/>
                <w:spacing w:val="2"/>
                <w:sz w:val="21"/>
                <w:szCs w:val="21"/>
              </w:rPr>
              <w:t>如该产</w:t>
            </w:r>
            <w:r>
              <w:rPr>
                <w:rFonts w:hint="eastAsia" w:ascii="宋体" w:hAnsi="宋体" w:eastAsia="宋体" w:cs="宋体"/>
                <w:sz w:val="21"/>
                <w:szCs w:val="21"/>
              </w:rPr>
              <w:t>品已经获得公安部颁发的计算机信息系统安全专用</w:t>
            </w:r>
            <w:r>
              <w:rPr>
                <w:rFonts w:hint="eastAsia" w:ascii="宋体" w:hAnsi="宋体" w:eastAsia="宋体" w:cs="宋体"/>
                <w:spacing w:val="-1"/>
                <w:sz w:val="21"/>
                <w:szCs w:val="21"/>
              </w:rPr>
              <w:t>产品销售许</w:t>
            </w:r>
            <w:r>
              <w:rPr>
                <w:rFonts w:hint="eastAsia" w:ascii="宋体" w:hAnsi="宋体" w:eastAsia="宋体" w:cs="宋体"/>
                <w:sz w:val="21"/>
                <w:szCs w:val="21"/>
              </w:rPr>
              <w:t>可证，且在有效期内，亦视为符合要求）</w:t>
            </w:r>
          </w:p>
        </w:tc>
      </w:tr>
      <w:tr w14:paraId="4EAD9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4634CD7F">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11</w:t>
            </w:r>
          </w:p>
        </w:tc>
        <w:tc>
          <w:tcPr>
            <w:tcW w:w="1812" w:type="dxa"/>
            <w:shd w:val="clear" w:color="auto" w:fill="auto"/>
            <w:vAlign w:val="center"/>
          </w:tcPr>
          <w:p w14:paraId="3D291C0A">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公平竞争</w:t>
            </w:r>
          </w:p>
        </w:tc>
        <w:tc>
          <w:tcPr>
            <w:tcW w:w="6726" w:type="dxa"/>
            <w:shd w:val="clear" w:color="auto" w:fill="auto"/>
            <w:vAlign w:val="top"/>
          </w:tcPr>
          <w:p w14:paraId="0B8429D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投标人遵循公平竞争的原则，不存在恶意串通</w:t>
            </w:r>
            <w:r>
              <w:rPr>
                <w:rFonts w:hint="eastAsia" w:ascii="宋体" w:hAnsi="宋体" w:eastAsia="宋体" w:cs="宋体"/>
                <w:spacing w:val="-1"/>
                <w:sz w:val="21"/>
                <w:szCs w:val="21"/>
              </w:rPr>
              <w:t>，妨碍其他投标</w:t>
            </w:r>
            <w:r>
              <w:rPr>
                <w:rFonts w:hint="eastAsia" w:ascii="宋体" w:hAnsi="宋体" w:eastAsia="宋体" w:cs="宋体"/>
                <w:sz w:val="21"/>
                <w:szCs w:val="21"/>
              </w:rPr>
              <w:t>人的竞争行为，不存在损害采购人或者其他投标人</w:t>
            </w:r>
            <w:r>
              <w:rPr>
                <w:rFonts w:hint="eastAsia" w:ascii="宋体" w:hAnsi="宋体" w:eastAsia="宋体" w:cs="宋体"/>
                <w:spacing w:val="-1"/>
                <w:sz w:val="21"/>
                <w:szCs w:val="21"/>
              </w:rPr>
              <w:t>的合法权益情形的；</w:t>
            </w:r>
          </w:p>
        </w:tc>
      </w:tr>
      <w:tr w14:paraId="419FE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01994550">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12</w:t>
            </w:r>
          </w:p>
        </w:tc>
        <w:tc>
          <w:tcPr>
            <w:tcW w:w="1812" w:type="dxa"/>
            <w:shd w:val="clear" w:color="auto" w:fill="auto"/>
            <w:vAlign w:val="center"/>
          </w:tcPr>
          <w:p w14:paraId="1A0931B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7"/>
                <w:sz w:val="21"/>
                <w:szCs w:val="21"/>
              </w:rPr>
              <w:t>串通投标</w:t>
            </w:r>
          </w:p>
        </w:tc>
        <w:tc>
          <w:tcPr>
            <w:tcW w:w="6726" w:type="dxa"/>
            <w:shd w:val="clear" w:color="auto" w:fill="auto"/>
            <w:vAlign w:val="top"/>
          </w:tcPr>
          <w:p w14:paraId="6E21331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不存在《政府采购货物和服务招标投标管理办法》视为投标人</w:t>
            </w:r>
            <w:r>
              <w:rPr>
                <w:rFonts w:hint="eastAsia" w:ascii="宋体" w:hAnsi="宋体" w:eastAsia="宋体" w:cs="宋体"/>
                <w:sz w:val="21"/>
                <w:szCs w:val="21"/>
              </w:rPr>
              <w:t>串通投标的情形</w:t>
            </w:r>
            <w:r>
              <w:rPr>
                <w:rFonts w:hint="eastAsia" w:ascii="宋体" w:hAnsi="宋体" w:eastAsia="宋体" w:cs="宋体"/>
                <w:spacing w:val="-46"/>
                <w:w w:val="70"/>
                <w:sz w:val="21"/>
                <w:szCs w:val="21"/>
              </w:rPr>
              <w:t>：（</w:t>
            </w:r>
            <w:r>
              <w:rPr>
                <w:rFonts w:hint="eastAsia" w:ascii="宋体" w:hAnsi="宋体" w:eastAsia="宋体" w:cs="宋体"/>
                <w:sz w:val="21"/>
                <w:szCs w:val="21"/>
              </w:rPr>
              <w:t>一）不同投标人的投标文件由同一单位</w:t>
            </w:r>
            <w:r>
              <w:rPr>
                <w:rFonts w:hint="eastAsia" w:ascii="宋体" w:hAnsi="宋体" w:eastAsia="宋体" w:cs="宋体"/>
                <w:spacing w:val="-1"/>
                <w:sz w:val="21"/>
                <w:szCs w:val="21"/>
              </w:rPr>
              <w:t>或者</w:t>
            </w:r>
            <w:r>
              <w:rPr>
                <w:rFonts w:hint="eastAsia" w:ascii="宋体" w:hAnsi="宋体" w:eastAsia="宋体" w:cs="宋体"/>
                <w:sz w:val="21"/>
                <w:szCs w:val="21"/>
              </w:rPr>
              <w:t>个人编制</w:t>
            </w:r>
            <w:r>
              <w:rPr>
                <w:rFonts w:hint="eastAsia" w:ascii="宋体" w:hAnsi="宋体" w:eastAsia="宋体" w:cs="宋体"/>
                <w:spacing w:val="-38"/>
                <w:w w:val="67"/>
                <w:sz w:val="21"/>
                <w:szCs w:val="21"/>
              </w:rPr>
              <w:t>；（</w:t>
            </w:r>
            <w:r>
              <w:rPr>
                <w:rFonts w:hint="eastAsia" w:ascii="宋体" w:hAnsi="宋体" w:eastAsia="宋体" w:cs="宋体"/>
                <w:sz w:val="21"/>
                <w:szCs w:val="21"/>
              </w:rPr>
              <w:t>二）不同投标人委托同一单位或者个人办理投</w:t>
            </w:r>
            <w:r>
              <w:rPr>
                <w:rFonts w:hint="eastAsia" w:ascii="宋体" w:hAnsi="宋体" w:eastAsia="宋体" w:cs="宋体"/>
                <w:spacing w:val="-1"/>
                <w:sz w:val="21"/>
                <w:szCs w:val="21"/>
              </w:rPr>
              <w:t>标事</w:t>
            </w:r>
            <w:r>
              <w:rPr>
                <w:rFonts w:hint="eastAsia" w:ascii="宋体" w:hAnsi="宋体" w:eastAsia="宋体" w:cs="宋体"/>
                <w:sz w:val="21"/>
                <w:szCs w:val="21"/>
              </w:rPr>
              <w:t>宜</w:t>
            </w:r>
            <w:r>
              <w:rPr>
                <w:rFonts w:hint="eastAsia" w:ascii="宋体" w:hAnsi="宋体" w:eastAsia="宋体" w:cs="宋体"/>
                <w:spacing w:val="-38"/>
                <w:w w:val="67"/>
                <w:sz w:val="21"/>
                <w:szCs w:val="21"/>
              </w:rPr>
              <w:t>；（</w:t>
            </w:r>
            <w:r>
              <w:rPr>
                <w:rFonts w:hint="eastAsia" w:ascii="宋体" w:hAnsi="宋体" w:eastAsia="宋体" w:cs="宋体"/>
                <w:sz w:val="21"/>
                <w:szCs w:val="21"/>
              </w:rPr>
              <w:t>三）不同投标人的投标文件载明的项目管理成员或者</w:t>
            </w:r>
            <w:r>
              <w:rPr>
                <w:rFonts w:hint="eastAsia" w:ascii="宋体" w:hAnsi="宋体" w:eastAsia="宋体" w:cs="宋体"/>
                <w:spacing w:val="-1"/>
                <w:sz w:val="21"/>
                <w:szCs w:val="21"/>
              </w:rPr>
              <w:t>联系</w:t>
            </w:r>
            <w:r>
              <w:rPr>
                <w:rFonts w:hint="eastAsia" w:ascii="宋体" w:hAnsi="宋体" w:eastAsia="宋体" w:cs="宋体"/>
                <w:spacing w:val="-4"/>
                <w:sz w:val="21"/>
                <w:szCs w:val="21"/>
              </w:rPr>
              <w:t>人员为同一人</w:t>
            </w:r>
            <w:r>
              <w:rPr>
                <w:rFonts w:hint="eastAsia" w:ascii="宋体" w:hAnsi="宋体" w:eastAsia="宋体" w:cs="宋体"/>
                <w:spacing w:val="-43"/>
                <w:w w:val="76"/>
                <w:sz w:val="21"/>
                <w:szCs w:val="21"/>
              </w:rPr>
              <w:t>；（</w:t>
            </w:r>
            <w:r>
              <w:rPr>
                <w:rFonts w:hint="eastAsia" w:ascii="宋体" w:hAnsi="宋体" w:eastAsia="宋体" w:cs="宋体"/>
                <w:spacing w:val="-4"/>
                <w:sz w:val="21"/>
                <w:szCs w:val="21"/>
              </w:rPr>
              <w:t>四）不同投标人的投标文件异常一致或者投标</w:t>
            </w:r>
            <w:r>
              <w:rPr>
                <w:rFonts w:hint="eastAsia" w:ascii="宋体" w:hAnsi="宋体" w:eastAsia="宋体" w:cs="宋体"/>
                <w:sz w:val="21"/>
                <w:szCs w:val="21"/>
              </w:rPr>
              <w:t>报价呈规律性差异</w:t>
            </w:r>
            <w:r>
              <w:rPr>
                <w:rFonts w:hint="eastAsia" w:ascii="宋体" w:hAnsi="宋体" w:eastAsia="宋体" w:cs="宋体"/>
                <w:spacing w:val="-29"/>
                <w:w w:val="50"/>
                <w:sz w:val="21"/>
                <w:szCs w:val="21"/>
              </w:rPr>
              <w:t>；（</w:t>
            </w:r>
            <w:r>
              <w:rPr>
                <w:rFonts w:hint="eastAsia" w:ascii="宋体" w:hAnsi="宋体" w:eastAsia="宋体" w:cs="宋体"/>
                <w:sz w:val="21"/>
                <w:szCs w:val="21"/>
              </w:rPr>
              <w:t>五）不同投标人的投标文件相互混装</w:t>
            </w:r>
            <w:r>
              <w:rPr>
                <w:rFonts w:hint="eastAsia" w:ascii="宋体" w:hAnsi="宋体" w:eastAsia="宋体" w:cs="宋体"/>
                <w:spacing w:val="-29"/>
                <w:w w:val="50"/>
                <w:sz w:val="21"/>
                <w:szCs w:val="21"/>
              </w:rPr>
              <w:t>；（</w:t>
            </w:r>
            <w:r>
              <w:rPr>
                <w:rFonts w:hint="eastAsia" w:ascii="宋体" w:hAnsi="宋体" w:eastAsia="宋体" w:cs="宋体"/>
                <w:sz w:val="21"/>
                <w:szCs w:val="21"/>
              </w:rPr>
              <w:t>六）</w:t>
            </w:r>
            <w:r>
              <w:rPr>
                <w:rFonts w:hint="eastAsia" w:ascii="宋体" w:hAnsi="宋体" w:eastAsia="宋体" w:cs="宋体"/>
                <w:spacing w:val="-1"/>
                <w:sz w:val="21"/>
                <w:szCs w:val="21"/>
              </w:rPr>
              <w:t>不同投标人的投标保证金从同一单位或者个人的账户转出；</w:t>
            </w:r>
          </w:p>
        </w:tc>
      </w:tr>
      <w:tr w14:paraId="16D84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01F08919">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13</w:t>
            </w:r>
          </w:p>
        </w:tc>
        <w:tc>
          <w:tcPr>
            <w:tcW w:w="1812" w:type="dxa"/>
            <w:shd w:val="clear" w:color="auto" w:fill="auto"/>
            <w:vAlign w:val="center"/>
          </w:tcPr>
          <w:p w14:paraId="7A2548C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w w:val="99"/>
                <w:sz w:val="21"/>
                <w:szCs w:val="21"/>
              </w:rPr>
              <w:t>附加条件</w:t>
            </w:r>
          </w:p>
        </w:tc>
        <w:tc>
          <w:tcPr>
            <w:tcW w:w="6726" w:type="dxa"/>
            <w:shd w:val="clear" w:color="auto" w:fill="auto"/>
            <w:vAlign w:val="top"/>
          </w:tcPr>
          <w:p w14:paraId="531B84F8">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投标文件未含有采购人不能接受的附加条件的；</w:t>
            </w:r>
          </w:p>
        </w:tc>
      </w:tr>
      <w:tr w14:paraId="1CC6E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54" w:type="dxa"/>
            <w:vAlign w:val="center"/>
          </w:tcPr>
          <w:p w14:paraId="4676A835">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1"/>
                <w:szCs w:val="21"/>
              </w:rPr>
            </w:pPr>
            <w:r>
              <w:rPr>
                <w:rFonts w:hint="eastAsia" w:ascii="宋体" w:hAnsi="宋体" w:eastAsia="宋体" w:cs="宋体"/>
                <w:spacing w:val="5"/>
                <w:sz w:val="21"/>
                <w:szCs w:val="21"/>
              </w:rPr>
              <w:t>14</w:t>
            </w:r>
          </w:p>
        </w:tc>
        <w:tc>
          <w:tcPr>
            <w:tcW w:w="1812" w:type="dxa"/>
            <w:shd w:val="clear" w:color="auto" w:fill="auto"/>
            <w:vAlign w:val="center"/>
          </w:tcPr>
          <w:p w14:paraId="7C57BEB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其他无效情形</w:t>
            </w:r>
          </w:p>
        </w:tc>
        <w:tc>
          <w:tcPr>
            <w:tcW w:w="6726" w:type="dxa"/>
            <w:shd w:val="clear" w:color="auto" w:fill="auto"/>
            <w:vAlign w:val="top"/>
          </w:tcPr>
          <w:p w14:paraId="762D271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投标人、投标文件不存在不符合法律、法规和</w:t>
            </w:r>
            <w:r>
              <w:rPr>
                <w:rFonts w:hint="eastAsia" w:ascii="宋体" w:hAnsi="宋体" w:eastAsia="宋体" w:cs="宋体"/>
                <w:spacing w:val="-1"/>
                <w:sz w:val="21"/>
                <w:szCs w:val="21"/>
              </w:rPr>
              <w:t>招标文件规定的其他无效情形。</w:t>
            </w:r>
          </w:p>
        </w:tc>
      </w:tr>
    </w:tbl>
    <w:p w14:paraId="300800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81" w:name="_Toc16041"/>
      <w:r>
        <w:rPr>
          <w:rFonts w:hint="eastAsia" w:ascii="宋体" w:hAnsi="宋体" w:eastAsia="宋体" w:cs="宋体"/>
          <w:b/>
          <w:bCs/>
          <w:spacing w:val="-1"/>
          <w:sz w:val="21"/>
          <w:szCs w:val="21"/>
        </w:rPr>
        <w:t>2</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投标文件有关事项的澄清或者说明</w:t>
      </w:r>
      <w:bookmarkEnd w:id="81"/>
    </w:p>
    <w:p w14:paraId="055976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2.1评标过程中，评标委员会将以书面形式要</w:t>
      </w:r>
      <w:r>
        <w:rPr>
          <w:rFonts w:hint="eastAsia" w:ascii="宋体" w:hAnsi="宋体" w:eastAsia="宋体" w:cs="宋体"/>
          <w:spacing w:val="2"/>
          <w:sz w:val="21"/>
          <w:szCs w:val="21"/>
        </w:rPr>
        <w:t>求投标人对其投标文件中含义不明</w:t>
      </w:r>
      <w:r>
        <w:rPr>
          <w:rFonts w:hint="eastAsia" w:ascii="宋体" w:hAnsi="宋体" w:eastAsia="宋体" w:cs="宋体"/>
          <w:spacing w:val="1"/>
          <w:sz w:val="21"/>
          <w:szCs w:val="21"/>
        </w:rPr>
        <w:t>确、同类问题表述不一致或者有明显文字和计算错误的内容，作出必要的澄</w:t>
      </w:r>
      <w:r>
        <w:rPr>
          <w:rFonts w:hint="eastAsia" w:ascii="宋体" w:hAnsi="宋体" w:eastAsia="宋体" w:cs="宋体"/>
          <w:spacing w:val="-1"/>
          <w:sz w:val="21"/>
          <w:szCs w:val="21"/>
        </w:rPr>
        <w:t>清、说明或者补正。投标人的澄清、说明或者补正应当采用书面形式，并加</w:t>
      </w:r>
      <w:r>
        <w:rPr>
          <w:rFonts w:hint="eastAsia" w:ascii="宋体" w:hAnsi="宋体" w:eastAsia="宋体" w:cs="宋体"/>
          <w:spacing w:val="1"/>
          <w:sz w:val="21"/>
          <w:szCs w:val="21"/>
        </w:rPr>
        <w:t>盖公章，或者由法定代表人（若投标人为事业单位或</w:t>
      </w:r>
      <w:r>
        <w:rPr>
          <w:rFonts w:hint="eastAsia" w:ascii="宋体" w:hAnsi="宋体" w:eastAsia="宋体" w:cs="宋体"/>
          <w:sz w:val="21"/>
          <w:szCs w:val="21"/>
        </w:rPr>
        <w:t>其他组织或分支机构，可为单位负责人）或其授权的代表签字。投标人的澄清、说明或者补正不得</w:t>
      </w:r>
      <w:r>
        <w:rPr>
          <w:rFonts w:hint="eastAsia" w:ascii="宋体" w:hAnsi="宋体" w:eastAsia="宋体" w:cs="宋体"/>
          <w:spacing w:val="1"/>
          <w:sz w:val="21"/>
          <w:szCs w:val="21"/>
        </w:rPr>
        <w:t>超出投标文件的范围或者改变投标文件的实质性内容。澄清文件将作为投标</w:t>
      </w:r>
      <w:r>
        <w:rPr>
          <w:rFonts w:hint="eastAsia" w:ascii="宋体" w:hAnsi="宋体" w:eastAsia="宋体" w:cs="宋体"/>
          <w:spacing w:val="-1"/>
          <w:sz w:val="21"/>
          <w:szCs w:val="21"/>
        </w:rPr>
        <w:t>文件内容的一部分。</w:t>
      </w:r>
    </w:p>
    <w:p w14:paraId="03B6C45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2.2评标委员会认为投标人的报价明显低于其</w:t>
      </w:r>
      <w:r>
        <w:rPr>
          <w:rFonts w:hint="eastAsia" w:ascii="宋体" w:hAnsi="宋体" w:eastAsia="宋体" w:cs="宋体"/>
          <w:spacing w:val="2"/>
          <w:sz w:val="21"/>
          <w:szCs w:val="21"/>
        </w:rPr>
        <w:t>他通过符合性审查投标人的报价，</w:t>
      </w:r>
      <w:r>
        <w:rPr>
          <w:rFonts w:hint="eastAsia" w:ascii="宋体" w:hAnsi="宋体" w:eastAsia="宋体" w:cs="宋体"/>
          <w:spacing w:val="1"/>
          <w:sz w:val="21"/>
          <w:szCs w:val="21"/>
        </w:rPr>
        <w:t>有可能影响产品质量或者不能诚信履约的，有权要求</w:t>
      </w:r>
      <w:r>
        <w:rPr>
          <w:rFonts w:hint="eastAsia" w:ascii="宋体" w:hAnsi="宋体" w:eastAsia="宋体" w:cs="宋体"/>
          <w:sz w:val="21"/>
          <w:szCs w:val="21"/>
        </w:rPr>
        <w:t>该投标人在评标现场合</w:t>
      </w:r>
      <w:r>
        <w:rPr>
          <w:rFonts w:hint="eastAsia" w:ascii="宋体" w:hAnsi="宋体" w:eastAsia="宋体" w:cs="宋体"/>
          <w:spacing w:val="1"/>
          <w:sz w:val="21"/>
          <w:szCs w:val="21"/>
        </w:rPr>
        <w:t>理的时间内提供书面说明，必要时提交相关证明材料</w:t>
      </w:r>
      <w:r>
        <w:rPr>
          <w:rFonts w:hint="eastAsia" w:ascii="宋体" w:hAnsi="宋体" w:eastAsia="宋体" w:cs="宋体"/>
          <w:sz w:val="21"/>
          <w:szCs w:val="21"/>
        </w:rPr>
        <w:t>；若投标人不能证明其报价合理性，评标委员会将其作为</w:t>
      </w:r>
      <w:r>
        <w:rPr>
          <w:rFonts w:hint="eastAsia" w:ascii="宋体" w:hAnsi="宋体" w:eastAsia="宋体" w:cs="宋体"/>
          <w:b/>
          <w:bCs/>
          <w:sz w:val="21"/>
          <w:szCs w:val="21"/>
        </w:rPr>
        <w:t>无效投标处</w:t>
      </w:r>
      <w:r>
        <w:rPr>
          <w:rFonts w:hint="eastAsia" w:ascii="宋体" w:hAnsi="宋体" w:eastAsia="宋体" w:cs="宋体"/>
          <w:b/>
          <w:bCs/>
          <w:spacing w:val="-1"/>
          <w:sz w:val="21"/>
          <w:szCs w:val="21"/>
        </w:rPr>
        <w:t>理</w:t>
      </w:r>
      <w:r>
        <w:rPr>
          <w:rFonts w:hint="eastAsia" w:ascii="宋体" w:hAnsi="宋体" w:eastAsia="宋体" w:cs="宋体"/>
          <w:spacing w:val="-1"/>
          <w:sz w:val="21"/>
          <w:szCs w:val="21"/>
        </w:rPr>
        <w:t>。</w:t>
      </w:r>
    </w:p>
    <w:p w14:paraId="74E70B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政府采购评审中出现下列情形之一的，评审委员会应当启动异常低价投标（响应）审查程序：</w:t>
      </w:r>
    </w:p>
    <w:p w14:paraId="3279FD5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（1）投标（响应）报价低于全部通过符合性审查供应商投标（响应）报价平均值50%的，即投标（响应）报价&lt;全部通过符合性审查供应商投标（响应）报价平均值×50%；</w:t>
      </w:r>
    </w:p>
    <w:p w14:paraId="234DDC1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（2）投标（响应）报价低于通过符合性审查的次低报价供应商投标（响应）报价50%的，即投标（响应）报价&lt;通过符合性审查的次低报价供应商投标（响应）报价×50%；</w:t>
      </w:r>
    </w:p>
    <w:p w14:paraId="43C21F9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（3）投标（响应）报价低于采购项目最高限价45%的，即投标（响应）报价&lt;采购项目最高限价×45%；</w:t>
      </w:r>
    </w:p>
    <w:p w14:paraId="66EA14F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（4）评审委员会基于专业判断，认为供应商报价过低，有可能影响产品质量或者不能诚信履约的其他情形。</w:t>
      </w:r>
    </w:p>
    <w:p w14:paraId="3A03426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6EAAF6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E92D2C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pacing w:val="2"/>
          <w:sz w:val="21"/>
          <w:szCs w:val="21"/>
        </w:rPr>
      </w:pPr>
      <w:r>
        <w:rPr>
          <w:rFonts w:hint="eastAsia" w:ascii="宋体" w:hAnsi="宋体" w:eastAsia="宋体" w:cs="宋体"/>
          <w:spacing w:val="1"/>
          <w:sz w:val="21"/>
          <w:szCs w:val="21"/>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2000854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2.3投标报价须包含招标文件全部内</w:t>
      </w:r>
      <w:r>
        <w:rPr>
          <w:rFonts w:hint="eastAsia" w:ascii="宋体" w:hAnsi="宋体" w:eastAsia="宋体" w:cs="宋体"/>
          <w:spacing w:val="1"/>
          <w:sz w:val="21"/>
          <w:szCs w:val="21"/>
        </w:rPr>
        <w:t>容，如分项报价表有缺漏视为已含在其他各项报价中，将不对投标总价进行调整。评标委员会有权要求投标人在评标现</w:t>
      </w:r>
      <w:r>
        <w:rPr>
          <w:rFonts w:hint="eastAsia" w:ascii="宋体" w:hAnsi="宋体" w:eastAsia="宋体" w:cs="宋体"/>
          <w:spacing w:val="-1"/>
          <w:sz w:val="21"/>
          <w:szCs w:val="21"/>
        </w:rPr>
        <w:t>场合理的时间内对此进行书面确认，投标人不确认的，视为将一个采购包中的内容拆分投标，其</w:t>
      </w:r>
      <w:r>
        <w:rPr>
          <w:rFonts w:hint="eastAsia" w:ascii="宋体" w:hAnsi="宋体" w:eastAsia="宋体" w:cs="宋体"/>
          <w:b/>
          <w:bCs/>
          <w:spacing w:val="-1"/>
          <w:sz w:val="21"/>
          <w:szCs w:val="21"/>
        </w:rPr>
        <w:t>投标无效</w:t>
      </w:r>
      <w:r>
        <w:rPr>
          <w:rFonts w:hint="eastAsia" w:ascii="宋体" w:hAnsi="宋体" w:eastAsia="宋体" w:cs="宋体"/>
          <w:spacing w:val="-1"/>
          <w:sz w:val="21"/>
          <w:szCs w:val="21"/>
        </w:rPr>
        <w:t>。</w:t>
      </w:r>
    </w:p>
    <w:p w14:paraId="06C032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2.4投标文件报价出现前后不一致的，按照下列规定修正：</w:t>
      </w:r>
    </w:p>
    <w:p w14:paraId="04EC4A0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2.4.1招标文件对于报价修正是否另有规定：</w:t>
      </w:r>
    </w:p>
    <w:p w14:paraId="6E5758C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□有，具体规定为：</w:t>
      </w:r>
    </w:p>
    <w:p w14:paraId="5F26D43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无，按下述2.4.2-2.4.8项规定修正。</w:t>
      </w:r>
    </w:p>
    <w:p w14:paraId="7E72F7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2.4.2单独递交的开标一览表（报价表）与投</w:t>
      </w:r>
      <w:r>
        <w:rPr>
          <w:rFonts w:hint="eastAsia" w:ascii="宋体" w:hAnsi="宋体" w:eastAsia="宋体" w:cs="宋体"/>
          <w:spacing w:val="-4"/>
          <w:sz w:val="21"/>
          <w:szCs w:val="21"/>
        </w:rPr>
        <w:t>标文件中开标一览表（报价表）</w:t>
      </w:r>
      <w:r>
        <w:rPr>
          <w:rFonts w:hint="eastAsia" w:ascii="宋体" w:hAnsi="宋体" w:eastAsia="宋体" w:cs="宋体"/>
          <w:spacing w:val="-3"/>
          <w:sz w:val="21"/>
          <w:szCs w:val="21"/>
        </w:rPr>
        <w:t>内容不一致的，以单独递交的开标一览表（报价表）为准；</w:t>
      </w:r>
    </w:p>
    <w:p w14:paraId="64605AB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2.4.3投标文件中开标一览表（报价表</w:t>
      </w:r>
      <w:r>
        <w:rPr>
          <w:rFonts w:hint="eastAsia" w:ascii="宋体" w:hAnsi="宋体" w:eastAsia="宋体" w:cs="宋体"/>
          <w:spacing w:val="-1"/>
          <w:sz w:val="21"/>
          <w:szCs w:val="21"/>
        </w:rPr>
        <w:t>）内容与投标文件中相应内容不一致</w:t>
      </w:r>
      <w:r>
        <w:rPr>
          <w:rFonts w:hint="eastAsia" w:ascii="宋体" w:hAnsi="宋体" w:eastAsia="宋体" w:cs="宋体"/>
          <w:spacing w:val="-5"/>
          <w:sz w:val="21"/>
          <w:szCs w:val="21"/>
        </w:rPr>
        <w:t>的，以开标一览表（报价表）为准；</w:t>
      </w:r>
    </w:p>
    <w:p w14:paraId="4B1425D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2.4.4大写金额和小写金额不一致</w:t>
      </w:r>
      <w:r>
        <w:rPr>
          <w:rFonts w:hint="eastAsia" w:ascii="宋体" w:hAnsi="宋体" w:eastAsia="宋体" w:cs="宋体"/>
          <w:spacing w:val="1"/>
          <w:sz w:val="21"/>
          <w:szCs w:val="21"/>
        </w:rPr>
        <w:t>的，以大写金额为准；</w:t>
      </w:r>
    </w:p>
    <w:p w14:paraId="7FE0C3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2.4.5单价金额小数点或者百分比有明显错位的，以开标一览表的总价为准，</w:t>
      </w:r>
      <w:r>
        <w:rPr>
          <w:rFonts w:hint="eastAsia" w:ascii="宋体" w:hAnsi="宋体" w:eastAsia="宋体" w:cs="宋体"/>
          <w:spacing w:val="-1"/>
          <w:sz w:val="21"/>
          <w:szCs w:val="21"/>
        </w:rPr>
        <w:t>并修改单价；</w:t>
      </w:r>
    </w:p>
    <w:p w14:paraId="4835DE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2.4.6总价金额与按单价汇总金额不一致的，以单价金额计算结果为准。</w:t>
      </w:r>
    </w:p>
    <w:p w14:paraId="275FC6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2.4.7同时出现两种以上不一致的，按照前款规定的顺序修正。</w:t>
      </w:r>
    </w:p>
    <w:p w14:paraId="17CECB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2.4.8修正后的报价经投标人书面确认</w:t>
      </w:r>
      <w:r>
        <w:rPr>
          <w:rFonts w:hint="eastAsia" w:ascii="宋体" w:hAnsi="宋体" w:eastAsia="宋体" w:cs="宋体"/>
          <w:spacing w:val="-1"/>
          <w:sz w:val="21"/>
          <w:szCs w:val="21"/>
        </w:rPr>
        <w:t>后产生约束力，投标人不确认的，其</w:t>
      </w:r>
      <w:r>
        <w:rPr>
          <w:rFonts w:hint="eastAsia" w:ascii="宋体" w:hAnsi="宋体" w:eastAsia="宋体" w:cs="宋体"/>
          <w:b/>
          <w:bCs/>
          <w:spacing w:val="-1"/>
          <w:sz w:val="21"/>
          <w:szCs w:val="21"/>
        </w:rPr>
        <w:t>投标无效</w:t>
      </w:r>
      <w:r>
        <w:rPr>
          <w:rFonts w:hint="eastAsia" w:ascii="宋体" w:hAnsi="宋体" w:eastAsia="宋体" w:cs="宋体"/>
          <w:spacing w:val="-1"/>
          <w:sz w:val="21"/>
          <w:szCs w:val="21"/>
        </w:rPr>
        <w:t>。</w:t>
      </w:r>
    </w:p>
    <w:p w14:paraId="1F779CE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pacing w:val="4"/>
          <w:sz w:val="21"/>
          <w:szCs w:val="21"/>
        </w:rPr>
      </w:pPr>
      <w:r>
        <w:rPr>
          <w:rFonts w:hint="eastAsia" w:ascii="宋体" w:hAnsi="宋体" w:eastAsia="宋体" w:cs="宋体"/>
          <w:spacing w:val="4"/>
          <w:sz w:val="21"/>
          <w:szCs w:val="21"/>
        </w:rPr>
        <w:t>2.5落实政府采购政策的价格调整：</w:t>
      </w:r>
    </w:p>
    <w:p w14:paraId="31FEDC3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lang w:val="en-US" w:eastAsia="zh-CN"/>
        </w:rPr>
        <w:t>对</w:t>
      </w:r>
      <w:r>
        <w:rPr>
          <w:rFonts w:hint="eastAsia" w:ascii="宋体" w:hAnsi="宋体" w:eastAsia="宋体" w:cs="宋体"/>
          <w:spacing w:val="4"/>
          <w:sz w:val="21"/>
          <w:szCs w:val="21"/>
        </w:rPr>
        <w:t>符合第二章《投标人须知》</w:t>
      </w:r>
      <w:r>
        <w:rPr>
          <w:rFonts w:hint="eastAsia" w:ascii="宋体" w:hAnsi="宋体" w:eastAsia="宋体" w:cs="宋体"/>
          <w:spacing w:val="4"/>
          <w:sz w:val="21"/>
          <w:szCs w:val="21"/>
          <w:lang w:val="en-US" w:eastAsia="zh-CN"/>
        </w:rPr>
        <w:t>5.1、</w:t>
      </w:r>
      <w:r>
        <w:rPr>
          <w:rFonts w:hint="eastAsia" w:ascii="宋体" w:hAnsi="宋体" w:eastAsia="宋体" w:cs="宋体"/>
          <w:spacing w:val="4"/>
          <w:sz w:val="21"/>
          <w:szCs w:val="21"/>
        </w:rPr>
        <w:t>5.2条</w:t>
      </w:r>
      <w:r>
        <w:rPr>
          <w:rFonts w:hint="eastAsia" w:ascii="宋体" w:hAnsi="宋体" w:eastAsia="宋体" w:cs="宋体"/>
          <w:spacing w:val="3"/>
          <w:sz w:val="21"/>
          <w:szCs w:val="21"/>
        </w:rPr>
        <w:t>规定</w:t>
      </w:r>
      <w:r>
        <w:rPr>
          <w:rFonts w:hint="eastAsia" w:ascii="宋体" w:hAnsi="宋体" w:eastAsia="宋体" w:cs="宋体"/>
          <w:spacing w:val="-2"/>
          <w:sz w:val="21"/>
          <w:szCs w:val="21"/>
        </w:rPr>
        <w:t>情形的，可以享受扶持政策，用扣除后的价格参加评审；否则，评</w:t>
      </w:r>
      <w:r>
        <w:rPr>
          <w:rFonts w:hint="eastAsia" w:ascii="宋体" w:hAnsi="宋体" w:eastAsia="宋体" w:cs="宋体"/>
          <w:spacing w:val="-1"/>
          <w:sz w:val="21"/>
          <w:szCs w:val="21"/>
        </w:rPr>
        <w:t>标时价格不予扣除。</w:t>
      </w:r>
    </w:p>
    <w:p w14:paraId="7FD04D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2.5.1对于未预留份额专门面向中小企</w:t>
      </w:r>
      <w:r>
        <w:rPr>
          <w:rFonts w:hint="eastAsia" w:ascii="宋体" w:hAnsi="宋体" w:eastAsia="宋体" w:cs="宋体"/>
          <w:spacing w:val="-1"/>
          <w:sz w:val="21"/>
          <w:szCs w:val="21"/>
        </w:rPr>
        <w:t>业采购的采购项目，以及预留份额项目中的非预留部分采购包，对小微企业报价给予</w:t>
      </w:r>
      <w:r>
        <w:rPr>
          <w:rFonts w:hint="eastAsia" w:ascii="宋体" w:hAnsi="宋体" w:eastAsia="宋体" w:cs="宋体"/>
          <w:b/>
          <w:bCs/>
          <w:spacing w:val="-1"/>
          <w:sz w:val="21"/>
          <w:szCs w:val="21"/>
          <w:u w:val="single"/>
          <w:lang w:val="en-US" w:eastAsia="zh-CN"/>
        </w:rPr>
        <w:t>10</w:t>
      </w:r>
      <w:r>
        <w:rPr>
          <w:rFonts w:hint="eastAsia" w:ascii="宋体" w:hAnsi="宋体" w:eastAsia="宋体" w:cs="宋体"/>
          <w:b/>
          <w:bCs/>
          <w:spacing w:val="-2"/>
          <w:sz w:val="21"/>
          <w:szCs w:val="21"/>
          <w:u w:val="single"/>
        </w:rPr>
        <w:t>%</w:t>
      </w:r>
      <w:r>
        <w:rPr>
          <w:rFonts w:hint="eastAsia" w:ascii="宋体" w:hAnsi="宋体" w:eastAsia="宋体" w:cs="宋体"/>
          <w:spacing w:val="-2"/>
          <w:sz w:val="21"/>
          <w:szCs w:val="21"/>
        </w:rPr>
        <w:t>的扣除，用扣除后的价格参加评审。</w:t>
      </w:r>
    </w:p>
    <w:p w14:paraId="405657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2.5.2对于未预留份额专门面向中小企</w:t>
      </w:r>
      <w:r>
        <w:rPr>
          <w:rFonts w:hint="eastAsia" w:ascii="宋体" w:hAnsi="宋体" w:eastAsia="宋体" w:cs="宋体"/>
          <w:spacing w:val="-1"/>
          <w:sz w:val="21"/>
          <w:szCs w:val="21"/>
        </w:rPr>
        <w:t>业采购的采购项目，以及预留份额项</w:t>
      </w:r>
      <w:r>
        <w:rPr>
          <w:rFonts w:hint="eastAsia" w:ascii="宋体" w:hAnsi="宋体" w:eastAsia="宋体" w:cs="宋体"/>
          <w:spacing w:val="2"/>
          <w:sz w:val="21"/>
          <w:szCs w:val="21"/>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宋体" w:hAnsi="宋体" w:eastAsia="宋体" w:cs="宋体"/>
          <w:sz w:val="21"/>
          <w:szCs w:val="21"/>
        </w:rPr>
        <w:t>总金额30%以上的联合体或者大中型企业的报价给予</w:t>
      </w:r>
      <w:r>
        <w:rPr>
          <w:rFonts w:hint="eastAsia" w:ascii="宋体" w:hAnsi="宋体" w:eastAsia="宋体" w:cs="宋体"/>
          <w:spacing w:val="-1"/>
          <w:sz w:val="21"/>
          <w:szCs w:val="21"/>
        </w:rPr>
        <w:t>%的扣除，用扣除后的价格参加评审。</w:t>
      </w:r>
    </w:p>
    <w:p w14:paraId="0F7716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2.5.3组成联合体或者接受分包的小微</w:t>
      </w:r>
      <w:r>
        <w:rPr>
          <w:rFonts w:hint="eastAsia" w:ascii="宋体" w:hAnsi="宋体" w:eastAsia="宋体" w:cs="宋体"/>
          <w:spacing w:val="-1"/>
          <w:sz w:val="21"/>
          <w:szCs w:val="21"/>
        </w:rPr>
        <w:t>企业与联合体内其他企业、分包企业之间存在直接控股、管理关系的，不享受价格扣除优惠政策。</w:t>
      </w:r>
    </w:p>
    <w:p w14:paraId="3E78D83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2.5.4价格扣除比例对小型企业和微型企业</w:t>
      </w:r>
      <w:r>
        <w:rPr>
          <w:rFonts w:hint="eastAsia" w:ascii="宋体" w:hAnsi="宋体" w:eastAsia="宋体" w:cs="宋体"/>
          <w:spacing w:val="2"/>
          <w:sz w:val="21"/>
          <w:szCs w:val="21"/>
        </w:rPr>
        <w:t>同等对待，不作区分。</w:t>
      </w:r>
    </w:p>
    <w:p w14:paraId="0C805B9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2.5.5中小企业参加政府采购活动，应当按照招标文件给定的格</w:t>
      </w:r>
      <w:r>
        <w:rPr>
          <w:rFonts w:hint="eastAsia" w:ascii="宋体" w:hAnsi="宋体" w:eastAsia="宋体" w:cs="宋体"/>
          <w:spacing w:val="-3"/>
          <w:sz w:val="21"/>
          <w:szCs w:val="21"/>
        </w:rPr>
        <w:t>式出具《中</w:t>
      </w:r>
      <w:r>
        <w:rPr>
          <w:rFonts w:hint="eastAsia" w:ascii="宋体" w:hAnsi="宋体" w:eastAsia="宋体" w:cs="宋体"/>
          <w:spacing w:val="-5"/>
          <w:sz w:val="21"/>
          <w:szCs w:val="21"/>
        </w:rPr>
        <w:t>小企业声明函》，否则不得享受相关中小企业扶持政</w:t>
      </w:r>
      <w:r>
        <w:rPr>
          <w:rFonts w:hint="eastAsia" w:ascii="宋体" w:hAnsi="宋体" w:eastAsia="宋体" w:cs="宋体"/>
          <w:spacing w:val="-6"/>
          <w:sz w:val="21"/>
          <w:szCs w:val="21"/>
        </w:rPr>
        <w:t>策。</w:t>
      </w:r>
    </w:p>
    <w:p w14:paraId="2B2BB3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2.5.6监狱企业提供了由省级以上监狱管理局、戒毒管理局（含新疆生产建设兵团）出具的属于监狱企业的证明文件的，视同小微企业。</w:t>
      </w:r>
    </w:p>
    <w:p w14:paraId="705E5DC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2.5.7残疾人福利性单位按招标文件要求提供了《残疾人福利性单位声明函》的，视同小微企业。</w:t>
      </w:r>
    </w:p>
    <w:p w14:paraId="576C182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2.5.8若投标人同时属于小型或微型企业、监狱企业、</w:t>
      </w:r>
      <w:r>
        <w:rPr>
          <w:rFonts w:hint="eastAsia" w:ascii="宋体" w:hAnsi="宋体" w:eastAsia="宋体" w:cs="宋体"/>
          <w:spacing w:val="2"/>
          <w:sz w:val="21"/>
          <w:szCs w:val="21"/>
        </w:rPr>
        <w:t>残疾人福利性单位</w:t>
      </w:r>
      <w:r>
        <w:rPr>
          <w:rFonts w:hint="eastAsia" w:ascii="宋体" w:hAnsi="宋体" w:eastAsia="宋体" w:cs="宋体"/>
          <w:spacing w:val="-1"/>
          <w:sz w:val="21"/>
          <w:szCs w:val="21"/>
        </w:rPr>
        <w:t>中的两种及以上，将不重复享受小微企业价格扣减的优惠</w:t>
      </w:r>
      <w:r>
        <w:rPr>
          <w:rFonts w:hint="eastAsia" w:ascii="宋体" w:hAnsi="宋体" w:eastAsia="宋体" w:cs="宋体"/>
          <w:spacing w:val="-2"/>
          <w:sz w:val="21"/>
          <w:szCs w:val="21"/>
        </w:rPr>
        <w:t>政策。</w:t>
      </w:r>
    </w:p>
    <w:p w14:paraId="3415C5B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textAlignment w:val="baseline"/>
        <w:rPr>
          <w:rFonts w:hint="default"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2.5.9</w:t>
      </w:r>
      <w:r>
        <w:rPr>
          <w:rFonts w:hint="eastAsia" w:ascii="宋体" w:hAnsi="宋体" w:eastAsia="宋体" w:cs="宋体"/>
          <w:sz w:val="21"/>
          <w:szCs w:val="21"/>
          <w:highlight w:val="none"/>
        </w:rPr>
        <w:t>根据《国务院办公厅关于在政府采购中实施本国产品标准及相关政策的通知》（国办发〔2025〕34号），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22DFC0E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82" w:name="_Toc23885"/>
      <w:r>
        <w:rPr>
          <w:rFonts w:hint="eastAsia" w:ascii="宋体" w:hAnsi="宋体" w:eastAsia="宋体" w:cs="宋体"/>
          <w:b/>
          <w:bCs/>
          <w:spacing w:val="-1"/>
          <w:sz w:val="21"/>
          <w:szCs w:val="21"/>
        </w:rPr>
        <w:t>3</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投标文件的比较和评价</w:t>
      </w:r>
      <w:bookmarkEnd w:id="82"/>
    </w:p>
    <w:p w14:paraId="14F3E5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3.1评标委员会将按照招标文件中规定的评</w:t>
      </w:r>
      <w:r>
        <w:rPr>
          <w:rFonts w:hint="eastAsia" w:ascii="宋体" w:hAnsi="宋体" w:eastAsia="宋体" w:cs="宋体"/>
          <w:spacing w:val="2"/>
          <w:sz w:val="21"/>
          <w:szCs w:val="21"/>
        </w:rPr>
        <w:t>标方法和标准，对符合性审查合格的</w:t>
      </w:r>
      <w:r>
        <w:rPr>
          <w:rFonts w:hint="eastAsia" w:ascii="宋体" w:hAnsi="宋体" w:eastAsia="宋体" w:cs="宋体"/>
          <w:spacing w:val="1"/>
          <w:sz w:val="21"/>
          <w:szCs w:val="21"/>
        </w:rPr>
        <w:t>投标文件进行商务和技术评估，综合比较与评价；未</w:t>
      </w:r>
      <w:r>
        <w:rPr>
          <w:rFonts w:hint="eastAsia" w:ascii="宋体" w:hAnsi="宋体" w:eastAsia="宋体" w:cs="宋体"/>
          <w:sz w:val="21"/>
          <w:szCs w:val="21"/>
        </w:rPr>
        <w:t>通过符合性审查的投标</w:t>
      </w:r>
      <w:r>
        <w:rPr>
          <w:rFonts w:hint="eastAsia" w:ascii="宋体" w:hAnsi="宋体" w:eastAsia="宋体" w:cs="宋体"/>
          <w:spacing w:val="-1"/>
          <w:sz w:val="21"/>
          <w:szCs w:val="21"/>
        </w:rPr>
        <w:t>文件不得进入比较与评价。</w:t>
      </w:r>
    </w:p>
    <w:p w14:paraId="612C174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3.2评标方法和评标标准</w:t>
      </w:r>
    </w:p>
    <w:p w14:paraId="1D42889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hint="eastAsia" w:ascii="宋体" w:hAnsi="宋体" w:eastAsia="宋体" w:cs="宋体"/>
          <w:sz w:val="21"/>
          <w:szCs w:val="21"/>
        </w:rPr>
      </w:pPr>
      <w:r>
        <w:rPr>
          <w:rFonts w:hint="eastAsia" w:ascii="宋体" w:hAnsi="宋体" w:eastAsia="宋体" w:cs="宋体"/>
          <w:spacing w:val="3"/>
          <w:sz w:val="21"/>
          <w:szCs w:val="21"/>
        </w:rPr>
        <w:t>3.2.1本项目采用的评标方法为：</w:t>
      </w:r>
    </w:p>
    <w:p w14:paraId="3A584E3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综合评分法，指投标文件满足招标文件全</w:t>
      </w:r>
      <w:r>
        <w:rPr>
          <w:rFonts w:hint="eastAsia" w:ascii="宋体" w:hAnsi="宋体" w:eastAsia="宋体" w:cs="宋体"/>
          <w:spacing w:val="-2"/>
          <w:sz w:val="21"/>
          <w:szCs w:val="21"/>
        </w:rPr>
        <w:t>部实质性要求，且按照评审因素的量化指标评审得分最高的投标人为中标候选人的评标方法，</w:t>
      </w:r>
      <w:r>
        <w:rPr>
          <w:rFonts w:hint="eastAsia" w:ascii="宋体" w:hAnsi="宋体" w:eastAsia="宋体" w:cs="宋体"/>
          <w:spacing w:val="-4"/>
          <w:sz w:val="21"/>
          <w:szCs w:val="21"/>
        </w:rPr>
        <w:t>见《评标标准》，招标文件中没有规定的评标标准不得作为评审</w:t>
      </w:r>
      <w:r>
        <w:rPr>
          <w:rFonts w:hint="eastAsia" w:ascii="宋体" w:hAnsi="宋体" w:eastAsia="宋体" w:cs="宋体"/>
          <w:spacing w:val="-5"/>
          <w:sz w:val="21"/>
          <w:szCs w:val="21"/>
        </w:rPr>
        <w:t>的依</w:t>
      </w:r>
      <w:r>
        <w:rPr>
          <w:rFonts w:hint="eastAsia" w:ascii="宋体" w:hAnsi="宋体" w:eastAsia="宋体" w:cs="宋体"/>
          <w:spacing w:val="-3"/>
          <w:sz w:val="21"/>
          <w:szCs w:val="21"/>
        </w:rPr>
        <w:t>据。</w:t>
      </w:r>
    </w:p>
    <w:p w14:paraId="1DC7A6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□最低评标价法，指投标文件满足招标文件</w:t>
      </w:r>
      <w:r>
        <w:rPr>
          <w:rFonts w:hint="eastAsia" w:ascii="宋体" w:hAnsi="宋体" w:eastAsia="宋体" w:cs="宋体"/>
          <w:spacing w:val="-2"/>
          <w:sz w:val="21"/>
          <w:szCs w:val="21"/>
        </w:rPr>
        <w:t>全部实质性要求，且投标</w:t>
      </w:r>
      <w:r>
        <w:rPr>
          <w:rFonts w:hint="eastAsia" w:ascii="宋体" w:hAnsi="宋体" w:eastAsia="宋体" w:cs="宋体"/>
          <w:spacing w:val="-1"/>
          <w:sz w:val="21"/>
          <w:szCs w:val="21"/>
        </w:rPr>
        <w:t>报价最低的投标人为中标候选人的评标方法。</w:t>
      </w:r>
    </w:p>
    <w:p w14:paraId="03CD19B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3.2.2采用最低评标价法时，提供相</w:t>
      </w:r>
      <w:r>
        <w:rPr>
          <w:rFonts w:hint="eastAsia" w:ascii="宋体" w:hAnsi="宋体" w:eastAsia="宋体" w:cs="宋体"/>
          <w:spacing w:val="-1"/>
          <w:sz w:val="21"/>
          <w:szCs w:val="21"/>
        </w:rPr>
        <w:t>同品牌产品（单一产品或核心产品品牌</w:t>
      </w:r>
      <w:r>
        <w:rPr>
          <w:rFonts w:hint="eastAsia" w:ascii="宋体" w:hAnsi="宋体" w:eastAsia="宋体" w:cs="宋体"/>
          <w:spacing w:val="1"/>
          <w:sz w:val="21"/>
          <w:szCs w:val="21"/>
        </w:rPr>
        <w:t>相同）的不同投标人参加同一合同项下投标的，</w:t>
      </w:r>
      <w:r>
        <w:rPr>
          <w:rFonts w:hint="eastAsia" w:ascii="宋体" w:hAnsi="宋体" w:eastAsia="宋体" w:cs="宋体"/>
          <w:sz w:val="21"/>
          <w:szCs w:val="21"/>
        </w:rPr>
        <w:t>以其中通过资格审</w:t>
      </w:r>
      <w:r>
        <w:rPr>
          <w:rFonts w:hint="eastAsia" w:ascii="宋体" w:hAnsi="宋体" w:eastAsia="宋体" w:cs="宋体"/>
          <w:spacing w:val="-1"/>
          <w:sz w:val="21"/>
          <w:szCs w:val="21"/>
        </w:rPr>
        <w:t>查、符合性审查且报价最低的参加评标；报价相同的，由采购人或</w:t>
      </w:r>
      <w:r>
        <w:rPr>
          <w:rFonts w:hint="eastAsia" w:ascii="宋体" w:hAnsi="宋体" w:eastAsia="宋体" w:cs="宋体"/>
          <w:spacing w:val="-2"/>
          <w:sz w:val="21"/>
          <w:szCs w:val="21"/>
        </w:rPr>
        <w:t>者采购人委托评标委员会按照下述方法确定一个参加评标的投标人，</w:t>
      </w:r>
      <w:r>
        <w:rPr>
          <w:rFonts w:hint="eastAsia" w:ascii="宋体" w:hAnsi="宋体" w:eastAsia="宋体" w:cs="宋体"/>
          <w:spacing w:val="-1"/>
          <w:sz w:val="21"/>
          <w:szCs w:val="21"/>
        </w:rPr>
        <w:t>其他</w:t>
      </w:r>
      <w:r>
        <w:rPr>
          <w:rFonts w:hint="eastAsia" w:ascii="宋体" w:hAnsi="宋体" w:eastAsia="宋体" w:cs="宋体"/>
          <w:b/>
          <w:bCs/>
          <w:spacing w:val="-1"/>
          <w:sz w:val="21"/>
          <w:szCs w:val="21"/>
        </w:rPr>
        <w:t>投标无效</w:t>
      </w:r>
      <w:r>
        <w:rPr>
          <w:rFonts w:hint="eastAsia" w:ascii="宋体" w:hAnsi="宋体" w:eastAsia="宋体" w:cs="宋体"/>
          <w:spacing w:val="-1"/>
          <w:sz w:val="21"/>
          <w:szCs w:val="21"/>
        </w:rPr>
        <w:t>。</w:t>
      </w:r>
    </w:p>
    <w:p w14:paraId="2DCAA07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□随机抽取</w:t>
      </w:r>
    </w:p>
    <w:p w14:paraId="6A928AC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eastAsia" w:ascii="宋体" w:hAnsi="宋体" w:eastAsia="宋体" w:cs="宋体"/>
          <w:sz w:val="21"/>
          <w:szCs w:val="21"/>
        </w:rPr>
      </w:pPr>
      <w:r>
        <w:rPr>
          <w:rFonts w:hint="eastAsia" w:ascii="宋体" w:hAnsi="宋体" w:eastAsia="宋体" w:cs="宋体"/>
          <w:spacing w:val="5"/>
          <w:sz w:val="21"/>
          <w:szCs w:val="21"/>
        </w:rPr>
        <w:t>□其他方式，具体要求：</w:t>
      </w:r>
    </w:p>
    <w:p w14:paraId="1E14A8E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rPr>
      </w:pPr>
      <w:r>
        <w:rPr>
          <w:rFonts w:hint="eastAsia" w:ascii="宋体" w:hAnsi="宋体" w:eastAsia="宋体" w:cs="宋体"/>
          <w:sz w:val="21"/>
          <w:szCs w:val="21"/>
        </w:rPr>
        <w:t>3.2.3非政府强制采购的节能产品或</w:t>
      </w:r>
      <w:r>
        <w:rPr>
          <w:rFonts w:hint="eastAsia" w:ascii="宋体" w:hAnsi="宋体" w:eastAsia="宋体" w:cs="宋体"/>
          <w:spacing w:val="-1"/>
          <w:sz w:val="21"/>
          <w:szCs w:val="21"/>
        </w:rPr>
        <w:t>环境标志产品，依据品目清单和认证证</w:t>
      </w:r>
      <w:r>
        <w:rPr>
          <w:rFonts w:hint="eastAsia" w:ascii="宋体" w:hAnsi="宋体" w:eastAsia="宋体" w:cs="宋体"/>
          <w:sz w:val="21"/>
          <w:szCs w:val="21"/>
        </w:rPr>
        <w:t>书实施政府优先采购。优先采购的具体规定（如涉及）。</w:t>
      </w:r>
    </w:p>
    <w:p w14:paraId="1FC318C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83" w:name="_Toc10582"/>
      <w:r>
        <w:rPr>
          <w:rFonts w:hint="eastAsia" w:ascii="宋体" w:hAnsi="宋体" w:eastAsia="宋体" w:cs="宋体"/>
          <w:b/>
          <w:bCs/>
          <w:spacing w:val="-1"/>
          <w:sz w:val="21"/>
          <w:szCs w:val="21"/>
        </w:rPr>
        <w:t>4</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确定中标候选人名单</w:t>
      </w:r>
      <w:bookmarkEnd w:id="83"/>
    </w:p>
    <w:p w14:paraId="7CCFD61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4.1采用综合评分法时，提供相同品牌产品（单一</w:t>
      </w:r>
      <w:r>
        <w:rPr>
          <w:rFonts w:hint="eastAsia" w:ascii="宋体" w:hAnsi="宋体" w:eastAsia="宋体" w:cs="宋体"/>
          <w:spacing w:val="1"/>
          <w:sz w:val="21"/>
          <w:szCs w:val="21"/>
        </w:rPr>
        <w:t>产品或核心产品品牌相同）且通过资格审查、符合性审查的不同投标人参加同一合同项下投标的，按一家</w:t>
      </w:r>
      <w:r>
        <w:rPr>
          <w:rFonts w:hint="eastAsia" w:ascii="宋体" w:hAnsi="宋体" w:eastAsia="宋体" w:cs="宋体"/>
          <w:spacing w:val="2"/>
          <w:sz w:val="21"/>
          <w:szCs w:val="21"/>
        </w:rPr>
        <w:t>投标人计算，评审后得分最高的同品牌投标人获得中标人推荐资格；评审得分相同的，评标委员会按照下述规定确定一个投标人获得中标人推荐资格，</w:t>
      </w:r>
      <w:r>
        <w:rPr>
          <w:rFonts w:hint="eastAsia" w:ascii="宋体" w:hAnsi="宋体" w:eastAsia="宋体" w:cs="宋体"/>
          <w:spacing w:val="-1"/>
          <w:sz w:val="21"/>
          <w:szCs w:val="21"/>
        </w:rPr>
        <w:t>其他同品牌投标人不作为中标候选人。</w:t>
      </w:r>
    </w:p>
    <w:p w14:paraId="73D07E6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□随机抽取</w:t>
      </w:r>
    </w:p>
    <w:p w14:paraId="7067F56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5"/>
          <w:sz w:val="21"/>
          <w:szCs w:val="21"/>
          <w:lang w:eastAsia="zh-CN"/>
        </w:rPr>
        <w:t>☑</w:t>
      </w:r>
      <w:r>
        <w:rPr>
          <w:rFonts w:hint="eastAsia" w:ascii="宋体" w:hAnsi="宋体" w:eastAsia="宋体" w:cs="宋体"/>
          <w:spacing w:val="5"/>
          <w:sz w:val="21"/>
          <w:szCs w:val="21"/>
        </w:rPr>
        <w:t>其他方式，具体要求：</w:t>
      </w:r>
      <w:r>
        <w:rPr>
          <w:rFonts w:hint="eastAsia" w:ascii="宋体" w:hAnsi="宋体" w:eastAsia="宋体" w:cs="宋体"/>
          <w:spacing w:val="5"/>
          <w:sz w:val="21"/>
          <w:szCs w:val="21"/>
          <w:lang w:val="en-US" w:eastAsia="zh-CN"/>
        </w:rPr>
        <w:t>提供相同品牌产品</w:t>
      </w:r>
      <w:r>
        <w:rPr>
          <w:rFonts w:hint="eastAsia" w:ascii="宋体" w:hAnsi="宋体" w:eastAsia="宋体" w:cs="宋体"/>
          <w:spacing w:val="2"/>
          <w:sz w:val="21"/>
          <w:szCs w:val="21"/>
        </w:rPr>
        <w:t>（单一</w:t>
      </w:r>
      <w:r>
        <w:rPr>
          <w:rFonts w:hint="eastAsia" w:ascii="宋体" w:hAnsi="宋体" w:eastAsia="宋体" w:cs="宋体"/>
          <w:spacing w:val="1"/>
          <w:sz w:val="21"/>
          <w:szCs w:val="21"/>
        </w:rPr>
        <w:t>产品或核心产品品牌相同）</w:t>
      </w:r>
      <w:r>
        <w:rPr>
          <w:rFonts w:hint="eastAsia" w:ascii="宋体" w:hAnsi="宋体" w:eastAsia="宋体" w:cs="宋体"/>
          <w:spacing w:val="1"/>
          <w:sz w:val="21"/>
          <w:szCs w:val="21"/>
          <w:lang w:val="en-US" w:eastAsia="zh-CN"/>
        </w:rPr>
        <w:t>评审得分相同的，投标总报价较低的获得中标人推荐资格；如总报价仍相同，则按照所投产品</w:t>
      </w:r>
      <w:r>
        <w:rPr>
          <w:rFonts w:hint="eastAsia" w:ascii="宋体" w:hAnsi="宋体" w:eastAsia="宋体" w:cs="宋体"/>
          <w:spacing w:val="2"/>
          <w:sz w:val="21"/>
          <w:szCs w:val="21"/>
        </w:rPr>
        <w:t>（单一</w:t>
      </w:r>
      <w:r>
        <w:rPr>
          <w:rFonts w:hint="eastAsia" w:ascii="宋体" w:hAnsi="宋体" w:eastAsia="宋体" w:cs="宋体"/>
          <w:spacing w:val="1"/>
          <w:sz w:val="21"/>
          <w:szCs w:val="21"/>
        </w:rPr>
        <w:t>产品或核心产品）</w:t>
      </w:r>
      <w:r>
        <w:rPr>
          <w:rFonts w:hint="eastAsia" w:ascii="宋体" w:hAnsi="宋体" w:eastAsia="宋体" w:cs="宋体"/>
          <w:spacing w:val="1"/>
          <w:sz w:val="21"/>
          <w:szCs w:val="21"/>
          <w:lang w:val="en-US" w:eastAsia="zh-CN"/>
        </w:rPr>
        <w:t>报价较低的获得中标人推荐资格，如上述内容均相同，则由评标专家随机抽取一家获得中标人推荐资格。</w:t>
      </w:r>
    </w:p>
    <w:p w14:paraId="6F0539A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4.2采用综合评分法时，评标结果按评审后得分由高到低顺序</w:t>
      </w:r>
      <w:r>
        <w:rPr>
          <w:rFonts w:hint="eastAsia" w:ascii="宋体" w:hAnsi="宋体" w:eastAsia="宋体" w:cs="宋体"/>
          <w:spacing w:val="-2"/>
          <w:sz w:val="21"/>
          <w:szCs w:val="21"/>
        </w:rPr>
        <w:t>排列。得分相同的，</w:t>
      </w:r>
      <w:r>
        <w:rPr>
          <w:rFonts w:hint="eastAsia" w:ascii="宋体" w:hAnsi="宋体" w:eastAsia="宋体" w:cs="宋体"/>
          <w:sz w:val="21"/>
          <w:szCs w:val="21"/>
        </w:rPr>
        <w:t>按投标报价由低到高顺序排列。得分且投标报价相同的并列。投标文件满足</w:t>
      </w:r>
      <w:r>
        <w:rPr>
          <w:rFonts w:hint="eastAsia" w:ascii="宋体" w:hAnsi="宋体" w:eastAsia="宋体" w:cs="宋体"/>
          <w:spacing w:val="2"/>
          <w:sz w:val="21"/>
          <w:szCs w:val="21"/>
        </w:rPr>
        <w:t>招标文件全部实质性要求，且按照评审因素的量化指标评审得分最高的投标</w:t>
      </w:r>
      <w:r>
        <w:rPr>
          <w:rFonts w:hint="eastAsia" w:ascii="宋体" w:hAnsi="宋体" w:eastAsia="宋体" w:cs="宋体"/>
          <w:spacing w:val="1"/>
          <w:sz w:val="21"/>
          <w:szCs w:val="21"/>
        </w:rPr>
        <w:t>人为排名第一的中标候选人。评分分值计算保留小数点后两位，第三位四舍</w:t>
      </w:r>
      <w:r>
        <w:rPr>
          <w:rFonts w:hint="eastAsia" w:ascii="宋体" w:hAnsi="宋体" w:eastAsia="宋体" w:cs="宋体"/>
          <w:spacing w:val="-2"/>
          <w:sz w:val="21"/>
          <w:szCs w:val="21"/>
        </w:rPr>
        <w:t>五入。</w:t>
      </w:r>
    </w:p>
    <w:p w14:paraId="05D0E52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4.3采用最低评标价法时，评标结果按本章2.4、2.5调整</w:t>
      </w:r>
      <w:r>
        <w:rPr>
          <w:rFonts w:hint="eastAsia" w:ascii="宋体" w:hAnsi="宋体" w:eastAsia="宋体" w:cs="宋体"/>
          <w:sz w:val="21"/>
          <w:szCs w:val="21"/>
        </w:rPr>
        <w:t>后的投标报价由低到高顺序排列。投标报价相同的并列。投标文件满足招标文件全部实质性要求且投标报价最低的投标人为排名第一的中标候选</w:t>
      </w:r>
      <w:r>
        <w:rPr>
          <w:rFonts w:hint="eastAsia" w:ascii="宋体" w:hAnsi="宋体" w:eastAsia="宋体" w:cs="宋体"/>
          <w:spacing w:val="-1"/>
          <w:sz w:val="21"/>
          <w:szCs w:val="21"/>
        </w:rPr>
        <w:t>人。</w:t>
      </w:r>
    </w:p>
    <w:p w14:paraId="6452A80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rPr>
      </w:pPr>
      <w:r>
        <w:rPr>
          <w:rFonts w:hint="eastAsia" w:ascii="宋体" w:hAnsi="宋体" w:eastAsia="宋体" w:cs="宋体"/>
          <w:spacing w:val="-1"/>
          <w:sz w:val="21"/>
          <w:szCs w:val="21"/>
        </w:rPr>
        <w:t>4.4评标委员会要对评分汇总情况进行复核，特别是对排名第一的、报价最低的、投标或响应文件被认定为无效的情形进行重点复核。</w:t>
      </w:r>
    </w:p>
    <w:p w14:paraId="1768566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4.5评标委员会将根据各投标人的评标排序，依次推荐本项目（各采购包）的中</w:t>
      </w:r>
      <w:r>
        <w:rPr>
          <w:rFonts w:hint="eastAsia" w:ascii="宋体" w:hAnsi="宋体" w:eastAsia="宋体" w:cs="宋体"/>
          <w:spacing w:val="1"/>
          <w:sz w:val="21"/>
          <w:szCs w:val="21"/>
        </w:rPr>
        <w:t>标候选人，起草并签署评标报告。本项目（各采购包）评标委员会共（各）</w:t>
      </w:r>
      <w:r>
        <w:rPr>
          <w:rFonts w:hint="eastAsia" w:ascii="宋体" w:hAnsi="宋体" w:eastAsia="宋体" w:cs="宋体"/>
          <w:spacing w:val="-1"/>
          <w:sz w:val="21"/>
          <w:szCs w:val="21"/>
        </w:rPr>
        <w:t>推荐名中标候选人。</w:t>
      </w:r>
    </w:p>
    <w:p w14:paraId="71692D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8" w:firstLineChars="200"/>
        <w:jc w:val="left"/>
        <w:textAlignment w:val="baseline"/>
        <w:outlineLvl w:val="2"/>
        <w:rPr>
          <w:rFonts w:hint="eastAsia" w:ascii="宋体" w:hAnsi="宋体" w:eastAsia="宋体" w:cs="宋体"/>
          <w:b/>
          <w:bCs/>
          <w:spacing w:val="-1"/>
          <w:sz w:val="21"/>
          <w:szCs w:val="21"/>
        </w:rPr>
      </w:pPr>
      <w:bookmarkStart w:id="84" w:name="_Toc16208"/>
      <w:r>
        <w:rPr>
          <w:rFonts w:hint="eastAsia" w:ascii="宋体" w:hAnsi="宋体" w:eastAsia="宋体" w:cs="宋体"/>
          <w:b/>
          <w:bCs/>
          <w:spacing w:val="-1"/>
          <w:sz w:val="21"/>
          <w:szCs w:val="21"/>
        </w:rPr>
        <w:t>5</w:t>
      </w:r>
      <w:r>
        <w:rPr>
          <w:rFonts w:hint="eastAsia" w:ascii="宋体" w:hAnsi="宋体" w:eastAsia="宋体" w:cs="宋体"/>
          <w:b/>
          <w:bCs/>
          <w:spacing w:val="-1"/>
          <w:sz w:val="21"/>
          <w:szCs w:val="21"/>
          <w:lang w:val="en-US" w:eastAsia="zh-CN"/>
        </w:rPr>
        <w:t>.</w:t>
      </w:r>
      <w:r>
        <w:rPr>
          <w:rFonts w:hint="eastAsia" w:ascii="宋体" w:hAnsi="宋体" w:eastAsia="宋体" w:cs="宋体"/>
          <w:b/>
          <w:bCs/>
          <w:spacing w:val="-1"/>
          <w:sz w:val="21"/>
          <w:szCs w:val="21"/>
        </w:rPr>
        <w:t>报告违法行为</w:t>
      </w:r>
      <w:bookmarkEnd w:id="84"/>
    </w:p>
    <w:p w14:paraId="57472C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textAlignment w:val="baseline"/>
        <w:rPr>
          <w:rFonts w:hint="eastAsia" w:ascii="宋体" w:hAnsi="宋体" w:eastAsia="宋体" w:cs="宋体"/>
          <w:sz w:val="21"/>
          <w:szCs w:val="21"/>
        </w:rPr>
      </w:pPr>
      <w:r>
        <w:rPr>
          <w:rFonts w:hint="eastAsia" w:ascii="宋体" w:hAnsi="宋体" w:eastAsia="宋体" w:cs="宋体"/>
          <w:spacing w:val="2"/>
          <w:sz w:val="21"/>
          <w:szCs w:val="21"/>
        </w:rPr>
        <w:t>5.1评标委员会在评标过程中发现投标人有行贿、提供虚假材料或者串通</w:t>
      </w:r>
      <w:r>
        <w:rPr>
          <w:rFonts w:hint="eastAsia" w:ascii="宋体" w:hAnsi="宋体" w:eastAsia="宋体" w:cs="宋体"/>
          <w:spacing w:val="1"/>
          <w:sz w:val="21"/>
          <w:szCs w:val="21"/>
        </w:rPr>
        <w:t>等违法</w:t>
      </w:r>
      <w:r>
        <w:rPr>
          <w:rFonts w:hint="eastAsia" w:ascii="宋体" w:hAnsi="宋体" w:eastAsia="宋体" w:cs="宋体"/>
          <w:spacing w:val="-1"/>
          <w:sz w:val="21"/>
          <w:szCs w:val="21"/>
        </w:rPr>
        <w:t>行为时，应当及时向财政部门报告。</w:t>
      </w:r>
    </w:p>
    <w:p w14:paraId="7E8A5904">
      <w:pPr>
        <w:spacing w:line="314" w:lineRule="auto"/>
        <w:rPr>
          <w:sz w:val="24"/>
          <w:szCs w:val="24"/>
        </w:rPr>
        <w:sectPr>
          <w:footerReference r:id="rId12" w:type="default"/>
          <w:pgSz w:w="11905" w:h="16838"/>
          <w:pgMar w:top="1361" w:right="1417" w:bottom="1247" w:left="1417" w:header="839" w:footer="884" w:gutter="0"/>
          <w:pgNumType w:fmt="numberInDash"/>
          <w:cols w:space="0" w:num="1"/>
          <w:rtlGutter w:val="0"/>
          <w:docGrid w:linePitch="0" w:charSpace="0"/>
        </w:sectPr>
      </w:pPr>
    </w:p>
    <w:p w14:paraId="6F6FBD6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spacing w:val="-1"/>
          <w:sz w:val="21"/>
          <w:szCs w:val="21"/>
        </w:rPr>
      </w:pPr>
      <w:bookmarkStart w:id="85" w:name="_Toc6735"/>
      <w:bookmarkStart w:id="86" w:name="_Toc31060"/>
      <w:r>
        <w:rPr>
          <w:rFonts w:hint="eastAsia" w:ascii="宋体" w:hAnsi="宋体" w:eastAsia="宋体" w:cs="宋体"/>
          <w:b/>
          <w:bCs/>
          <w:spacing w:val="-1"/>
          <w:sz w:val="21"/>
          <w:szCs w:val="21"/>
        </w:rPr>
        <w:t>二、评标标准</w:t>
      </w:r>
      <w:bookmarkEnd w:id="85"/>
      <w:bookmarkEnd w:id="86"/>
    </w:p>
    <w:tbl>
      <w:tblPr>
        <w:tblStyle w:val="20"/>
        <w:tblpPr w:leftFromText="180" w:rightFromText="180" w:vertAnchor="text" w:horzAnchor="page" w:tblpX="1420" w:tblpY="227"/>
        <w:tblOverlap w:val="never"/>
        <w:tblW w:w="503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82"/>
        <w:gridCol w:w="1564"/>
        <w:gridCol w:w="6685"/>
      </w:tblGrid>
      <w:tr w14:paraId="30FDE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483" w:type="pct"/>
            <w:vAlign w:val="center"/>
          </w:tcPr>
          <w:p w14:paraId="7FEF8E5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outlineLvl w:val="9"/>
              <w:rPr>
                <w:rFonts w:hint="eastAsia" w:ascii="宋体" w:hAnsi="宋体" w:eastAsia="宋体" w:cs="宋体"/>
                <w:sz w:val="21"/>
                <w:szCs w:val="21"/>
                <w:lang w:eastAsia="zh-CN"/>
              </w:rPr>
            </w:pPr>
            <w:r>
              <w:rPr>
                <w:rFonts w:hint="eastAsia" w:ascii="宋体" w:hAnsi="宋体" w:eastAsia="宋体" w:cs="宋体"/>
                <w:b/>
                <w:bCs/>
                <w:spacing w:val="-3"/>
                <w:sz w:val="21"/>
                <w:szCs w:val="21"/>
                <w:lang w:val="en-US" w:eastAsia="zh-CN"/>
              </w:rPr>
              <w:t>类别</w:t>
            </w:r>
          </w:p>
        </w:tc>
        <w:tc>
          <w:tcPr>
            <w:tcW w:w="856" w:type="pct"/>
            <w:vAlign w:val="center"/>
          </w:tcPr>
          <w:p w14:paraId="5D05528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outlineLvl w:val="9"/>
              <w:rPr>
                <w:rFonts w:hint="eastAsia" w:ascii="宋体" w:hAnsi="宋体" w:eastAsia="宋体" w:cs="宋体"/>
                <w:sz w:val="21"/>
                <w:szCs w:val="21"/>
              </w:rPr>
            </w:pPr>
            <w:r>
              <w:rPr>
                <w:rFonts w:hint="eastAsia" w:ascii="宋体" w:hAnsi="宋体" w:eastAsia="宋体" w:cs="宋体"/>
                <w:b/>
                <w:bCs/>
                <w:spacing w:val="-1"/>
                <w:sz w:val="21"/>
                <w:szCs w:val="21"/>
              </w:rPr>
              <w:t>评分因素</w:t>
            </w:r>
          </w:p>
        </w:tc>
        <w:tc>
          <w:tcPr>
            <w:tcW w:w="3659" w:type="pct"/>
            <w:vAlign w:val="center"/>
          </w:tcPr>
          <w:p w14:paraId="3F408BA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outlineLvl w:val="9"/>
              <w:rPr>
                <w:rFonts w:hint="eastAsia" w:ascii="宋体" w:hAnsi="宋体" w:eastAsia="宋体" w:cs="宋体"/>
                <w:sz w:val="21"/>
                <w:szCs w:val="21"/>
              </w:rPr>
            </w:pPr>
            <w:r>
              <w:rPr>
                <w:rFonts w:hint="eastAsia" w:ascii="宋体" w:hAnsi="宋体" w:eastAsia="宋体" w:cs="宋体"/>
                <w:b/>
                <w:bCs/>
                <w:spacing w:val="-1"/>
                <w:sz w:val="21"/>
                <w:szCs w:val="21"/>
              </w:rPr>
              <w:t>评分标准</w:t>
            </w:r>
          </w:p>
        </w:tc>
      </w:tr>
      <w:tr w14:paraId="16A44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483" w:type="pct"/>
            <w:vMerge w:val="restart"/>
            <w:vAlign w:val="center"/>
          </w:tcPr>
          <w:p w14:paraId="533F5E57">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outlineLvl w:val="9"/>
              <w:rPr>
                <w:rFonts w:hint="eastAsia" w:ascii="宋体" w:hAnsi="宋体" w:eastAsia="宋体" w:cs="宋体"/>
                <w:b/>
                <w:bCs/>
                <w:spacing w:val="-3"/>
                <w:sz w:val="21"/>
                <w:szCs w:val="21"/>
              </w:rPr>
            </w:pPr>
            <w:r>
              <w:rPr>
                <w:rFonts w:hint="eastAsia" w:ascii="宋体" w:hAnsi="宋体" w:eastAsia="宋体" w:cs="宋体"/>
                <w:color w:val="auto"/>
                <w:kern w:val="0"/>
                <w:sz w:val="21"/>
                <w:szCs w:val="21"/>
                <w:highlight w:val="none"/>
              </w:rPr>
              <w:t>投标</w:t>
            </w:r>
            <w:r>
              <w:rPr>
                <w:rFonts w:hint="eastAsia" w:ascii="宋体" w:hAnsi="宋体" w:eastAsia="宋体" w:cs="宋体"/>
                <w:color w:val="auto"/>
                <w:spacing w:val="-2"/>
                <w:kern w:val="0"/>
                <w:sz w:val="21"/>
                <w:szCs w:val="21"/>
                <w:highlight w:val="none"/>
              </w:rPr>
              <w:t>报</w:t>
            </w:r>
            <w:r>
              <w:rPr>
                <w:rFonts w:hint="eastAsia" w:ascii="宋体" w:hAnsi="宋体" w:eastAsia="宋体" w:cs="宋体"/>
                <w:color w:val="auto"/>
                <w:kern w:val="0"/>
                <w:sz w:val="21"/>
                <w:szCs w:val="21"/>
                <w:highlight w:val="none"/>
              </w:rPr>
              <w:t>价 评分</w:t>
            </w:r>
            <w:r>
              <w:rPr>
                <w:rFonts w:hint="eastAsia" w:ascii="宋体" w:hAnsi="宋体" w:eastAsia="宋体" w:cs="宋体"/>
                <w:color w:val="auto"/>
                <w:spacing w:val="-2"/>
                <w:kern w:val="0"/>
                <w:sz w:val="21"/>
                <w:szCs w:val="21"/>
                <w:highlight w:val="none"/>
              </w:rPr>
              <w:t>标</w:t>
            </w:r>
            <w:r>
              <w:rPr>
                <w:rFonts w:hint="eastAsia" w:ascii="宋体" w:hAnsi="宋体" w:eastAsia="宋体" w:cs="宋体"/>
                <w:color w:val="auto"/>
                <w:kern w:val="0"/>
                <w:sz w:val="21"/>
                <w:szCs w:val="21"/>
                <w:highlight w:val="none"/>
              </w:rPr>
              <w:t>准（30分）</w:t>
            </w:r>
          </w:p>
        </w:tc>
        <w:tc>
          <w:tcPr>
            <w:tcW w:w="856" w:type="pct"/>
            <w:vAlign w:val="center"/>
          </w:tcPr>
          <w:p w14:paraId="3C1CCEFB">
            <w:pPr>
              <w:pStyle w:val="7"/>
              <w:keepNext w:val="0"/>
              <w:keepLines w:val="0"/>
              <w:pageBreakBefore w:val="0"/>
              <w:wordWrap/>
              <w:overflowPunct/>
              <w:topLinePunct w:val="0"/>
              <w:bidi w:val="0"/>
              <w:spacing w:line="400" w:lineRule="exact"/>
              <w:ind w:left="0" w:leftChars="0" w:right="0"/>
              <w:jc w:val="center"/>
              <w:outlineLvl w:val="9"/>
              <w:rPr>
                <w:rFonts w:hint="eastAsia" w:ascii="宋体" w:hAnsi="宋体" w:eastAsia="宋体" w:cs="宋体"/>
                <w:b/>
                <w:bCs/>
                <w:spacing w:val="-1"/>
                <w:sz w:val="21"/>
                <w:szCs w:val="21"/>
              </w:rPr>
            </w:pPr>
            <w:r>
              <w:rPr>
                <w:rFonts w:hint="eastAsia" w:ascii="宋体" w:hAnsi="宋体" w:eastAsia="宋体" w:cs="宋体"/>
                <w:color w:val="auto"/>
                <w:kern w:val="0"/>
                <w:sz w:val="21"/>
                <w:szCs w:val="21"/>
                <w:highlight w:val="none"/>
              </w:rPr>
              <w:t>价格扣除</w:t>
            </w:r>
          </w:p>
        </w:tc>
        <w:tc>
          <w:tcPr>
            <w:tcW w:w="3659" w:type="pct"/>
            <w:vAlign w:val="center"/>
          </w:tcPr>
          <w:p w14:paraId="6D3FDF20">
            <w:pPr>
              <w:keepNext w:val="0"/>
              <w:keepLines w:val="0"/>
              <w:pageBreakBefore w:val="0"/>
              <w:wordWrap/>
              <w:overflowPunct/>
              <w:topLinePunct w:val="0"/>
              <w:autoSpaceDE w:val="0"/>
              <w:autoSpaceDN w:val="0"/>
              <w:bidi w:val="0"/>
              <w:adjustRightInd w:val="0"/>
              <w:spacing w:line="400" w:lineRule="exact"/>
              <w:ind w:left="0" w:leftChars="0" w:right="0"/>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1.投标人符合小微企业、监狱企业、残疾人福利性单位政策扶持规定的，按本章第2.5款规定进行价格扣除，用扣除后的价格参与投标报价评审。</w:t>
            </w:r>
          </w:p>
          <w:p w14:paraId="280110A1">
            <w:pPr>
              <w:keepNext w:val="0"/>
              <w:keepLines w:val="0"/>
              <w:pageBreakBefore w:val="0"/>
              <w:wordWrap/>
              <w:overflowPunct/>
              <w:topLinePunct w:val="0"/>
              <w:autoSpaceDE w:val="0"/>
              <w:autoSpaceDN w:val="0"/>
              <w:bidi w:val="0"/>
              <w:adjustRightInd w:val="0"/>
              <w:spacing w:line="400" w:lineRule="exact"/>
              <w:ind w:left="0" w:leftChars="0" w:right="0"/>
              <w:outlineLvl w:val="9"/>
              <w:rPr>
                <w:rFonts w:hint="eastAsia" w:ascii="宋体" w:hAnsi="宋体" w:eastAsia="宋体" w:cs="宋体"/>
                <w:b/>
                <w:bCs/>
                <w:spacing w:val="-1"/>
                <w:sz w:val="21"/>
                <w:szCs w:val="21"/>
              </w:rPr>
            </w:pPr>
            <w:r>
              <w:rPr>
                <w:rFonts w:hint="eastAsia" w:ascii="宋体" w:hAnsi="宋体" w:eastAsia="宋体" w:cs="宋体"/>
                <w:color w:val="auto"/>
                <w:kern w:val="0"/>
                <w:sz w:val="21"/>
                <w:szCs w:val="21"/>
                <w:highlight w:val="none"/>
                <w:lang w:val="en-US" w:eastAsia="zh-CN"/>
              </w:rPr>
              <w:t>2.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7CCE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483" w:type="pct"/>
            <w:vMerge w:val="continue"/>
            <w:vAlign w:val="center"/>
          </w:tcPr>
          <w:p w14:paraId="4EE1582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outlineLvl w:val="9"/>
              <w:rPr>
                <w:rFonts w:hint="eastAsia" w:ascii="宋体" w:hAnsi="宋体" w:eastAsia="宋体" w:cs="宋体"/>
                <w:b/>
                <w:bCs/>
                <w:spacing w:val="-3"/>
                <w:sz w:val="21"/>
                <w:szCs w:val="21"/>
              </w:rPr>
            </w:pPr>
          </w:p>
        </w:tc>
        <w:tc>
          <w:tcPr>
            <w:tcW w:w="856" w:type="pct"/>
            <w:vAlign w:val="center"/>
          </w:tcPr>
          <w:p w14:paraId="172F2390">
            <w:pPr>
              <w:pStyle w:val="7"/>
              <w:keepNext w:val="0"/>
              <w:keepLines w:val="0"/>
              <w:pageBreakBefore w:val="0"/>
              <w:wordWrap/>
              <w:overflowPunct/>
              <w:topLinePunct w:val="0"/>
              <w:bidi w:val="0"/>
              <w:spacing w:line="400" w:lineRule="exact"/>
              <w:ind w:left="0" w:leftChars="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投标报价得分</w:t>
            </w:r>
          </w:p>
          <w:p w14:paraId="52DA8541">
            <w:pPr>
              <w:keepNext w:val="0"/>
              <w:keepLines w:val="0"/>
              <w:pageBreakBefore w:val="0"/>
              <w:wordWrap/>
              <w:overflowPunct/>
              <w:topLinePunct w:val="0"/>
              <w:autoSpaceDE w:val="0"/>
              <w:autoSpaceDN w:val="0"/>
              <w:bidi w:val="0"/>
              <w:adjustRightInd w:val="0"/>
              <w:spacing w:line="400" w:lineRule="exact"/>
              <w:ind w:left="0" w:leftChars="0" w:right="0" w:rightChars="0"/>
              <w:jc w:val="center"/>
              <w:outlineLvl w:val="9"/>
              <w:rPr>
                <w:rFonts w:hint="eastAsia" w:ascii="宋体" w:hAnsi="宋体" w:eastAsia="宋体" w:cs="宋体"/>
                <w:b/>
                <w:bCs/>
                <w:spacing w:val="-1"/>
                <w:sz w:val="21"/>
                <w:szCs w:val="21"/>
              </w:rPr>
            </w:pPr>
            <w:r>
              <w:rPr>
                <w:rFonts w:hint="eastAsia" w:ascii="宋体" w:hAnsi="宋体" w:eastAsia="宋体" w:cs="宋体"/>
                <w:color w:val="auto"/>
                <w:kern w:val="0"/>
                <w:sz w:val="21"/>
                <w:szCs w:val="21"/>
                <w:highlight w:val="none"/>
              </w:rPr>
              <w:t>（30分）</w:t>
            </w:r>
          </w:p>
        </w:tc>
        <w:tc>
          <w:tcPr>
            <w:tcW w:w="3659" w:type="pct"/>
            <w:vAlign w:val="center"/>
          </w:tcPr>
          <w:p w14:paraId="1697427C">
            <w:pPr>
              <w:keepNext w:val="0"/>
              <w:keepLines w:val="0"/>
              <w:pageBreakBefore w:val="0"/>
              <w:wordWrap/>
              <w:overflowPunct/>
              <w:topLinePunct w:val="0"/>
              <w:autoSpaceDE w:val="0"/>
              <w:autoSpaceDN w:val="0"/>
              <w:bidi w:val="0"/>
              <w:adjustRightInd w:val="0"/>
              <w:spacing w:line="400" w:lineRule="exact"/>
              <w:ind w:left="0" w:leftChars="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满足招标文件要求且投标价格最低的投标报价为评标基准价，其价格分为满分。其他投标人的价格分统一按下列公式计算：</w:t>
            </w:r>
          </w:p>
          <w:p w14:paraId="03CC030E">
            <w:pPr>
              <w:keepNext w:val="0"/>
              <w:keepLines w:val="0"/>
              <w:pageBreakBefore w:val="0"/>
              <w:wordWrap/>
              <w:overflowPunct/>
              <w:topLinePunct w:val="0"/>
              <w:autoSpaceDE w:val="0"/>
              <w:autoSpaceDN w:val="0"/>
              <w:bidi w:val="0"/>
              <w:adjustRightInd w:val="0"/>
              <w:spacing w:line="400" w:lineRule="exact"/>
              <w:ind w:left="0" w:leftChars="0" w:right="0"/>
              <w:outlineLvl w:val="9"/>
              <w:rPr>
                <w:rFonts w:hint="eastAsia" w:ascii="宋体" w:hAnsi="宋体" w:eastAsia="宋体" w:cs="宋体"/>
                <w:b/>
                <w:bCs/>
                <w:spacing w:val="-1"/>
                <w:sz w:val="21"/>
                <w:szCs w:val="21"/>
              </w:rPr>
            </w:pPr>
            <w:r>
              <w:rPr>
                <w:rFonts w:hint="eastAsia" w:ascii="宋体" w:hAnsi="宋体" w:eastAsia="宋体" w:cs="宋体"/>
                <w:color w:val="auto"/>
                <w:kern w:val="0"/>
                <w:sz w:val="21"/>
                <w:szCs w:val="21"/>
                <w:highlight w:val="none"/>
              </w:rPr>
              <w:t>投标报价得分=（评标基准价/投标报价）×30</w:t>
            </w:r>
          </w:p>
        </w:tc>
      </w:tr>
      <w:tr w14:paraId="745DB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483" w:type="pct"/>
            <w:vMerge w:val="restart"/>
            <w:vAlign w:val="center"/>
          </w:tcPr>
          <w:p w14:paraId="5B8401EC">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outlineLvl w:val="9"/>
              <w:rPr>
                <w:rFonts w:hint="eastAsia" w:ascii="宋体" w:hAnsi="宋体" w:eastAsia="宋体" w:cs="宋体"/>
                <w:snapToGrid/>
                <w:color w:val="auto"/>
                <w:kern w:val="2"/>
                <w:sz w:val="21"/>
                <w:szCs w:val="21"/>
                <w:highlight w:val="none"/>
                <w:lang w:val="en-US" w:eastAsia="zh-CN"/>
              </w:rPr>
            </w:pPr>
            <w:r>
              <w:rPr>
                <w:rFonts w:hint="eastAsia" w:ascii="宋体" w:hAnsi="宋体" w:eastAsia="宋体" w:cs="宋体"/>
                <w:snapToGrid/>
                <w:color w:val="auto"/>
                <w:kern w:val="2"/>
                <w:sz w:val="21"/>
                <w:szCs w:val="21"/>
                <w:highlight w:val="none"/>
                <w:lang w:eastAsia="zh-CN"/>
              </w:rPr>
              <w:t>商务</w:t>
            </w:r>
            <w:r>
              <w:rPr>
                <w:rFonts w:hint="eastAsia" w:ascii="宋体" w:hAnsi="宋体" w:eastAsia="宋体" w:cs="宋体"/>
                <w:snapToGrid/>
                <w:color w:val="auto"/>
                <w:kern w:val="2"/>
                <w:sz w:val="21"/>
                <w:szCs w:val="21"/>
                <w:highlight w:val="none"/>
                <w:lang w:val="en-US" w:eastAsia="zh-CN"/>
              </w:rPr>
              <w:t>部分</w:t>
            </w:r>
          </w:p>
          <w:p w14:paraId="00DF05B6">
            <w:pPr>
              <w:keepNext w:val="0"/>
              <w:keepLines w:val="0"/>
              <w:pageBreakBefore w:val="0"/>
              <w:widowControl w:val="0"/>
              <w:kinsoku/>
              <w:wordWrap/>
              <w:overflowPunct/>
              <w:topLinePunct w:val="0"/>
              <w:autoSpaceDE/>
              <w:autoSpaceDN/>
              <w:bidi w:val="0"/>
              <w:adjustRightInd/>
              <w:snapToGrid/>
              <w:spacing w:line="400" w:lineRule="exact"/>
              <w:ind w:left="0" w:leftChars="0" w:right="0"/>
              <w:jc w:val="center"/>
              <w:textAlignment w:val="auto"/>
              <w:outlineLvl w:val="9"/>
              <w:rPr>
                <w:rFonts w:hint="eastAsia" w:ascii="宋体" w:hAnsi="宋体" w:eastAsia="宋体" w:cs="宋体"/>
                <w:snapToGrid/>
                <w:color w:val="auto"/>
                <w:kern w:val="2"/>
                <w:sz w:val="21"/>
                <w:szCs w:val="21"/>
                <w:highlight w:val="none"/>
                <w:lang w:eastAsia="zh-CN"/>
              </w:rPr>
            </w:pPr>
            <w:r>
              <w:rPr>
                <w:rFonts w:hint="eastAsia" w:ascii="宋体" w:hAnsi="宋体" w:eastAsia="宋体" w:cs="宋体"/>
                <w:snapToGrid/>
                <w:color w:val="auto"/>
                <w:kern w:val="2"/>
                <w:sz w:val="21"/>
                <w:szCs w:val="21"/>
                <w:highlight w:val="none"/>
                <w:lang w:eastAsia="zh-CN"/>
              </w:rPr>
              <w:t>评分标准</w:t>
            </w:r>
          </w:p>
          <w:p w14:paraId="40A4264C">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outlineLvl w:val="9"/>
              <w:rPr>
                <w:rFonts w:hint="eastAsia" w:ascii="宋体" w:hAnsi="宋体" w:eastAsia="宋体" w:cs="宋体"/>
                <w:sz w:val="21"/>
                <w:szCs w:val="21"/>
                <w:lang w:val="en-US" w:eastAsia="zh-CN"/>
              </w:rPr>
            </w:pPr>
            <w:r>
              <w:rPr>
                <w:rFonts w:hint="eastAsia" w:ascii="宋体" w:hAnsi="宋体" w:eastAsia="宋体" w:cs="宋体"/>
                <w:snapToGrid/>
                <w:color w:val="auto"/>
                <w:kern w:val="2"/>
                <w:sz w:val="21"/>
                <w:szCs w:val="21"/>
                <w:highlight w:val="none"/>
                <w:lang w:eastAsia="zh-CN"/>
              </w:rPr>
              <w:t>（</w:t>
            </w:r>
            <w:r>
              <w:rPr>
                <w:rFonts w:hint="eastAsia" w:ascii="宋体" w:hAnsi="宋体" w:eastAsia="宋体" w:cs="宋体"/>
                <w:snapToGrid/>
                <w:color w:val="auto"/>
                <w:kern w:val="2"/>
                <w:sz w:val="21"/>
                <w:szCs w:val="21"/>
                <w:highlight w:val="none"/>
                <w:lang w:val="en-US" w:eastAsia="zh-CN"/>
              </w:rPr>
              <w:t>30</w:t>
            </w:r>
            <w:r>
              <w:rPr>
                <w:rFonts w:hint="eastAsia" w:ascii="宋体" w:hAnsi="宋体" w:eastAsia="宋体" w:cs="宋体"/>
                <w:snapToGrid/>
                <w:color w:val="auto"/>
                <w:kern w:val="2"/>
                <w:sz w:val="21"/>
                <w:szCs w:val="21"/>
                <w:highlight w:val="none"/>
                <w:lang w:eastAsia="zh-CN"/>
              </w:rPr>
              <w:t>分）</w:t>
            </w:r>
          </w:p>
        </w:tc>
        <w:tc>
          <w:tcPr>
            <w:tcW w:w="856" w:type="pct"/>
            <w:tcBorders>
              <w:right w:val="single" w:color="auto" w:sz="4" w:space="0"/>
            </w:tcBorders>
            <w:vAlign w:val="center"/>
          </w:tcPr>
          <w:p w14:paraId="0239AF9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outlineLvl w:val="9"/>
              <w:rPr>
                <w:rFonts w:hint="eastAsia" w:ascii="宋体" w:hAnsi="宋体" w:eastAsia="宋体" w:cs="宋体"/>
                <w:sz w:val="21"/>
                <w:szCs w:val="21"/>
                <w:lang w:eastAsia="zh-CN"/>
              </w:rPr>
            </w:pPr>
            <w:r>
              <w:rPr>
                <w:rFonts w:hint="eastAsia" w:ascii="宋体" w:hAnsi="宋体" w:eastAsia="宋体" w:cs="宋体"/>
                <w:sz w:val="21"/>
                <w:szCs w:val="21"/>
              </w:rPr>
              <w:t>产品业绩</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6分</w:t>
            </w:r>
            <w:r>
              <w:rPr>
                <w:rFonts w:hint="eastAsia" w:ascii="宋体" w:hAnsi="宋体" w:eastAsia="宋体" w:cs="宋体"/>
                <w:sz w:val="21"/>
                <w:szCs w:val="21"/>
                <w:lang w:eastAsia="zh-CN"/>
              </w:rPr>
              <w:t>）</w:t>
            </w:r>
          </w:p>
        </w:tc>
        <w:tc>
          <w:tcPr>
            <w:tcW w:w="3659" w:type="pct"/>
            <w:tcBorders>
              <w:left w:val="single" w:color="auto" w:sz="4" w:space="0"/>
            </w:tcBorders>
            <w:vAlign w:val="center"/>
          </w:tcPr>
          <w:p w14:paraId="3754DFA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提供核心产品（同品牌同型号）2023年1月1日（以合同签订时间为准）以来的销售业绩（合同甲方须为货物使用单位），每提供1份业绩合同得</w:t>
            </w:r>
            <w:r>
              <w:rPr>
                <w:rFonts w:hint="eastAsia" w:ascii="宋体" w:hAnsi="宋体" w:eastAsia="宋体" w:cs="宋体"/>
                <w:sz w:val="21"/>
                <w:szCs w:val="21"/>
                <w:lang w:val="en-US" w:eastAsia="zh-CN"/>
              </w:rPr>
              <w:t>2</w:t>
            </w:r>
            <w:r>
              <w:rPr>
                <w:rFonts w:hint="eastAsia" w:ascii="宋体" w:hAnsi="宋体" w:eastAsia="宋体" w:cs="宋体"/>
                <w:sz w:val="21"/>
                <w:szCs w:val="21"/>
              </w:rPr>
              <w:t>分，最多得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p w14:paraId="5677E710">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注：合同中的供货方不限于本次投标投标人，且投标文件中须提供业绩合同完整清楚的扫描件，不得涂改、遮盖，否则不得分。</w:t>
            </w:r>
          </w:p>
        </w:tc>
      </w:tr>
      <w:tr w14:paraId="00981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83" w:type="pct"/>
            <w:vMerge w:val="continue"/>
            <w:vAlign w:val="center"/>
          </w:tcPr>
          <w:p w14:paraId="358F677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outlineLvl w:val="9"/>
              <w:rPr>
                <w:rFonts w:hint="eastAsia" w:ascii="宋体" w:hAnsi="宋体" w:eastAsia="宋体" w:cs="宋体"/>
                <w:sz w:val="21"/>
                <w:szCs w:val="21"/>
                <w:lang w:val="en-US" w:eastAsia="zh-CN"/>
              </w:rPr>
            </w:pPr>
          </w:p>
        </w:tc>
        <w:tc>
          <w:tcPr>
            <w:tcW w:w="856" w:type="pct"/>
            <w:vAlign w:val="center"/>
          </w:tcPr>
          <w:p w14:paraId="3C6A269C">
            <w:pPr>
              <w:pStyle w:val="7"/>
              <w:keepNext w:val="0"/>
              <w:keepLines w:val="0"/>
              <w:pageBreakBefore w:val="0"/>
              <w:wordWrap/>
              <w:overflowPunct/>
              <w:topLinePunct w:val="0"/>
              <w:bidi w:val="0"/>
              <w:spacing w:line="400" w:lineRule="exact"/>
              <w:ind w:left="0" w:leftChars="0" w:right="0"/>
              <w:jc w:val="center"/>
              <w:outlineLvl w:val="9"/>
              <w:rPr>
                <w:rFonts w:hint="eastAsia" w:ascii="宋体" w:hAnsi="宋体" w:eastAsia="宋体" w:cs="宋体"/>
                <w:sz w:val="21"/>
                <w:szCs w:val="21"/>
                <w:lang w:val="en-US" w:eastAsia="zh-CN"/>
              </w:rPr>
            </w:pPr>
            <w:r>
              <w:rPr>
                <w:rFonts w:hint="eastAsia" w:ascii="宋体" w:hAnsi="宋体" w:eastAsia="宋体" w:cs="宋体"/>
                <w:sz w:val="21"/>
                <w:szCs w:val="21"/>
              </w:rPr>
              <w:t>服务承诺</w:t>
            </w:r>
            <w:r>
              <w:rPr>
                <w:rFonts w:hint="eastAsia" w:ascii="宋体" w:hAnsi="宋体" w:eastAsia="宋体" w:cs="宋体"/>
                <w:sz w:val="21"/>
                <w:szCs w:val="21"/>
                <w:lang w:val="en-US" w:eastAsia="zh-CN"/>
              </w:rPr>
              <w:t>及措施（10</w:t>
            </w:r>
            <w:r>
              <w:rPr>
                <w:rFonts w:hint="eastAsia" w:cs="宋体"/>
                <w:sz w:val="21"/>
                <w:szCs w:val="21"/>
                <w:lang w:val="en-US" w:eastAsia="zh-CN"/>
              </w:rPr>
              <w:t>分</w:t>
            </w:r>
            <w:r>
              <w:rPr>
                <w:rFonts w:hint="eastAsia" w:ascii="宋体" w:hAnsi="宋体" w:eastAsia="宋体" w:cs="宋体"/>
                <w:sz w:val="21"/>
                <w:szCs w:val="21"/>
                <w:lang w:val="en-US" w:eastAsia="zh-CN"/>
              </w:rPr>
              <w:t>）</w:t>
            </w:r>
          </w:p>
        </w:tc>
        <w:tc>
          <w:tcPr>
            <w:tcW w:w="3659" w:type="pct"/>
            <w:vAlign w:val="center"/>
          </w:tcPr>
          <w:p w14:paraId="3E551C0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1.评标委员会根据各投标文件中质保期内、质保期满后的售后服务措施、建立的服务制度、培训方案等进行打分：</w:t>
            </w:r>
          </w:p>
          <w:p w14:paraId="69CB2A7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服务承诺符合本项目特点，物有所值且价值最高，有详尽的质保期内、质保期满后的售后服务措施，建立健全的服务制度的、有具体的培训方案的得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4073CC9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服务承诺符合本项目特点，具有一定价值，有较详细的质保期内、质保期满后的售后服务措施，有较健全的服务制度，有较具体的培训方案的得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3971FAD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服务承诺符合本项目特点，实用性一般，质保期内、质保期满后的售后服务措施不完备，服务制度不完备，培训方案不完备的得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p w14:paraId="70BFC025">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未提供者不得分。</w:t>
            </w:r>
          </w:p>
          <w:p w14:paraId="71634BAD">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2.评标委员会根据各投标文件中质保期内、质保期满后的故障响应时间、应急维修措施预案等进行打分：</w:t>
            </w:r>
          </w:p>
          <w:p w14:paraId="3058FC49">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服务承诺符合本项目特点，物有所值且价值最高，质保期内、质保期满后的售后服务故障响应时间极快、应急维修措施预案合理且可行的得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p w14:paraId="505B284E">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服务承诺符合本项目特点，具有一定价值，质保期内、质保期满后的售后服务故障响应时间快、应急维修措施预案较合理的得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14:paraId="36785BB2">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服务承诺符合本项目特点，实用性一般，质保期内、质保期满后的售后服务故障响应时间较长、应急维修措施预案不完备的得1分；</w:t>
            </w:r>
          </w:p>
          <w:p w14:paraId="0289CA4F">
            <w:pPr>
              <w:keepNext w:val="0"/>
              <w:keepLines w:val="0"/>
              <w:pageBreakBefore w:val="0"/>
              <w:wordWrap/>
              <w:overflowPunct/>
              <w:topLinePunct w:val="0"/>
              <w:autoSpaceDE w:val="0"/>
              <w:autoSpaceDN w:val="0"/>
              <w:bidi w:val="0"/>
              <w:adjustRightInd w:val="0"/>
              <w:spacing w:line="400" w:lineRule="exact"/>
              <w:ind w:left="0" w:leftChars="0" w:right="0"/>
              <w:outlineLvl w:val="9"/>
              <w:rPr>
                <w:rFonts w:hint="eastAsia" w:ascii="宋体" w:hAnsi="宋体" w:eastAsia="宋体" w:cs="宋体"/>
                <w:sz w:val="21"/>
                <w:szCs w:val="21"/>
              </w:rPr>
            </w:pPr>
            <w:r>
              <w:rPr>
                <w:rFonts w:hint="eastAsia" w:ascii="宋体" w:hAnsi="宋体" w:eastAsia="宋体" w:cs="宋体"/>
                <w:sz w:val="21"/>
                <w:szCs w:val="21"/>
              </w:rPr>
              <w:t>未提供者不得分。</w:t>
            </w:r>
          </w:p>
        </w:tc>
      </w:tr>
      <w:tr w14:paraId="3117A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83" w:type="pct"/>
            <w:vMerge w:val="continue"/>
            <w:vAlign w:val="center"/>
          </w:tcPr>
          <w:p w14:paraId="18CC0D4D">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outlineLvl w:val="9"/>
              <w:rPr>
                <w:rFonts w:hint="eastAsia" w:ascii="宋体" w:hAnsi="宋体" w:eastAsia="宋体" w:cs="宋体"/>
                <w:sz w:val="21"/>
                <w:szCs w:val="21"/>
                <w:lang w:val="en-US" w:eastAsia="zh-CN"/>
              </w:rPr>
            </w:pPr>
          </w:p>
        </w:tc>
        <w:tc>
          <w:tcPr>
            <w:tcW w:w="856" w:type="pct"/>
            <w:vAlign w:val="center"/>
          </w:tcPr>
          <w:p w14:paraId="0EB4467C">
            <w:pPr>
              <w:pStyle w:val="7"/>
              <w:keepNext w:val="0"/>
              <w:keepLines w:val="0"/>
              <w:pageBreakBefore w:val="0"/>
              <w:wordWrap/>
              <w:overflowPunct/>
              <w:topLinePunct w:val="0"/>
              <w:bidi w:val="0"/>
              <w:spacing w:line="400" w:lineRule="exact"/>
              <w:ind w:left="0" w:leftChars="0" w:right="0"/>
              <w:jc w:val="center"/>
              <w:outlineLvl w:val="9"/>
              <w:rPr>
                <w:rFonts w:hint="eastAsia" w:ascii="宋体" w:hAnsi="宋体" w:eastAsia="宋体" w:cs="宋体"/>
                <w:sz w:val="21"/>
                <w:szCs w:val="21"/>
              </w:rPr>
            </w:pPr>
            <w:r>
              <w:rPr>
                <w:rFonts w:hint="eastAsia" w:ascii="宋体" w:hAnsi="宋体" w:eastAsia="宋体" w:cs="宋体"/>
                <w:color w:val="auto"/>
                <w:kern w:val="0"/>
                <w:sz w:val="21"/>
                <w:szCs w:val="21"/>
                <w:highlight w:val="none"/>
              </w:rPr>
              <w:t>供货、运输方案</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6分</w:t>
            </w:r>
            <w:r>
              <w:rPr>
                <w:rFonts w:hint="eastAsia" w:ascii="宋体" w:hAnsi="宋体" w:eastAsia="宋体" w:cs="宋体"/>
                <w:color w:val="auto"/>
                <w:kern w:val="0"/>
                <w:sz w:val="21"/>
                <w:szCs w:val="21"/>
                <w:highlight w:val="none"/>
                <w:lang w:eastAsia="zh-CN"/>
              </w:rPr>
              <w:t>）</w:t>
            </w:r>
          </w:p>
        </w:tc>
        <w:tc>
          <w:tcPr>
            <w:tcW w:w="3659" w:type="pct"/>
            <w:vAlign w:val="center"/>
          </w:tcPr>
          <w:p w14:paraId="7B20C116">
            <w:pPr>
              <w:keepNext w:val="0"/>
              <w:keepLines w:val="0"/>
              <w:pageBreakBefore w:val="0"/>
              <w:wordWrap/>
              <w:overflowPunct/>
              <w:topLinePunct w:val="0"/>
              <w:autoSpaceDE w:val="0"/>
              <w:autoSpaceDN w:val="0"/>
              <w:bidi w:val="0"/>
              <w:adjustRightInd w:val="0"/>
              <w:spacing w:line="400" w:lineRule="exact"/>
              <w:ind w:left="0" w:leftChars="0" w:right="0"/>
              <w:outlineLvl w:val="9"/>
              <w:rPr>
                <w:rFonts w:hint="eastAsia" w:ascii="宋体" w:hAnsi="宋体" w:eastAsia="宋体" w:cs="宋体"/>
                <w:sz w:val="21"/>
                <w:szCs w:val="21"/>
              </w:rPr>
            </w:pPr>
            <w:r>
              <w:rPr>
                <w:rFonts w:hint="eastAsia" w:ascii="宋体" w:hAnsi="宋体" w:eastAsia="宋体" w:cs="宋体"/>
                <w:color w:val="auto"/>
                <w:kern w:val="0"/>
                <w:sz w:val="21"/>
                <w:szCs w:val="21"/>
                <w:highlight w:val="none"/>
              </w:rPr>
              <w:t>根据投标人提供的供货、运输方案（内容至少包括①交货地点、②交货时间、③交货方式、④运输条件）进行综合评审。供货、运输方案</w:t>
            </w:r>
            <w:r>
              <w:rPr>
                <w:rFonts w:hint="eastAsia" w:ascii="宋体" w:hAnsi="宋体" w:eastAsia="宋体" w:cs="宋体"/>
                <w:color w:val="auto"/>
                <w:kern w:val="0"/>
                <w:sz w:val="21"/>
                <w:szCs w:val="21"/>
                <w:highlight w:val="none"/>
                <w:lang w:val="zh-TW"/>
              </w:rPr>
              <w:t>对每项内容</w:t>
            </w:r>
            <w:r>
              <w:rPr>
                <w:rFonts w:hint="eastAsia" w:ascii="宋体" w:hAnsi="宋体" w:eastAsia="宋体" w:cs="宋体"/>
                <w:color w:val="auto"/>
                <w:kern w:val="0"/>
                <w:sz w:val="21"/>
                <w:szCs w:val="21"/>
                <w:highlight w:val="none"/>
              </w:rPr>
              <w:t>均有</w:t>
            </w:r>
            <w:r>
              <w:rPr>
                <w:rFonts w:hint="eastAsia" w:ascii="宋体" w:hAnsi="宋体" w:eastAsia="宋体" w:cs="宋体"/>
                <w:color w:val="auto"/>
                <w:kern w:val="0"/>
                <w:sz w:val="21"/>
                <w:szCs w:val="21"/>
                <w:highlight w:val="none"/>
                <w:lang w:val="zh-TW"/>
              </w:rPr>
              <w:t>论述</w:t>
            </w:r>
            <w:r>
              <w:rPr>
                <w:rFonts w:hint="eastAsia" w:ascii="宋体" w:hAnsi="宋体" w:eastAsia="宋体" w:cs="宋体"/>
                <w:color w:val="auto"/>
                <w:kern w:val="0"/>
                <w:sz w:val="21"/>
                <w:szCs w:val="21"/>
                <w:highlight w:val="none"/>
              </w:rPr>
              <w:t>、符合项目特点，</w:t>
            </w:r>
            <w:r>
              <w:rPr>
                <w:rFonts w:hint="eastAsia" w:ascii="宋体" w:hAnsi="宋体" w:eastAsia="宋体" w:cs="宋体"/>
                <w:color w:val="auto"/>
                <w:kern w:val="0"/>
                <w:sz w:val="21"/>
                <w:szCs w:val="21"/>
                <w:highlight w:val="none"/>
                <w:lang w:val="zh-TW"/>
              </w:rPr>
              <w:t>完全贴合项目采购需求的得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TW"/>
              </w:rPr>
              <w:t>分；</w:t>
            </w:r>
            <w:r>
              <w:rPr>
                <w:rFonts w:hint="eastAsia" w:ascii="宋体" w:hAnsi="宋体" w:eastAsia="宋体" w:cs="宋体"/>
                <w:color w:val="auto"/>
                <w:kern w:val="0"/>
                <w:sz w:val="21"/>
                <w:szCs w:val="21"/>
                <w:highlight w:val="none"/>
              </w:rPr>
              <w:t>供货、运输方案</w:t>
            </w:r>
            <w:r>
              <w:rPr>
                <w:rFonts w:hint="eastAsia" w:ascii="宋体" w:hAnsi="宋体" w:eastAsia="宋体" w:cs="宋体"/>
                <w:color w:val="auto"/>
                <w:kern w:val="0"/>
                <w:sz w:val="21"/>
                <w:szCs w:val="21"/>
                <w:highlight w:val="none"/>
                <w:lang w:val="zh-TW"/>
              </w:rPr>
              <w:t>对每项内容虽</w:t>
            </w:r>
            <w:r>
              <w:rPr>
                <w:rFonts w:hint="eastAsia" w:ascii="宋体" w:hAnsi="宋体" w:eastAsia="宋体" w:cs="宋体"/>
                <w:color w:val="auto"/>
                <w:kern w:val="0"/>
                <w:sz w:val="21"/>
                <w:szCs w:val="21"/>
                <w:highlight w:val="none"/>
              </w:rPr>
              <w:t>有</w:t>
            </w:r>
            <w:r>
              <w:rPr>
                <w:rFonts w:hint="eastAsia" w:ascii="宋体" w:hAnsi="宋体" w:eastAsia="宋体" w:cs="宋体"/>
                <w:color w:val="auto"/>
                <w:kern w:val="0"/>
                <w:sz w:val="21"/>
                <w:szCs w:val="21"/>
                <w:highlight w:val="none"/>
                <w:lang w:val="zh-TW"/>
              </w:rPr>
              <w:t>阐述但未贴合采购需求进行论述或内容未包括具体细节的得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TW"/>
              </w:rPr>
              <w:t>分</w:t>
            </w:r>
            <w:r>
              <w:rPr>
                <w:rFonts w:hint="eastAsia" w:ascii="宋体" w:hAnsi="宋体" w:eastAsia="宋体" w:cs="宋体"/>
                <w:color w:val="auto"/>
                <w:kern w:val="0"/>
                <w:sz w:val="21"/>
                <w:szCs w:val="21"/>
                <w:highlight w:val="none"/>
              </w:rPr>
              <w:t>；供货、运输方案</w:t>
            </w:r>
            <w:r>
              <w:rPr>
                <w:rFonts w:hint="eastAsia" w:ascii="宋体" w:hAnsi="宋体" w:eastAsia="宋体" w:cs="宋体"/>
                <w:color w:val="auto"/>
                <w:kern w:val="0"/>
                <w:sz w:val="21"/>
                <w:szCs w:val="21"/>
                <w:highlight w:val="none"/>
                <w:lang w:val="zh-TW"/>
              </w:rPr>
              <w:t>提供的内容不完整的得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TW"/>
              </w:rPr>
              <w:t>分；未提供</w:t>
            </w:r>
            <w:r>
              <w:rPr>
                <w:rFonts w:hint="eastAsia" w:ascii="宋体" w:hAnsi="宋体" w:eastAsia="宋体" w:cs="宋体"/>
                <w:color w:val="auto"/>
                <w:kern w:val="0"/>
                <w:sz w:val="21"/>
                <w:szCs w:val="21"/>
                <w:highlight w:val="none"/>
              </w:rPr>
              <w:t>供货、运输方案</w:t>
            </w:r>
            <w:r>
              <w:rPr>
                <w:rFonts w:hint="eastAsia" w:ascii="宋体" w:hAnsi="宋体" w:eastAsia="宋体" w:cs="宋体"/>
                <w:color w:val="auto"/>
                <w:kern w:val="0"/>
                <w:sz w:val="21"/>
                <w:szCs w:val="21"/>
                <w:highlight w:val="none"/>
                <w:lang w:val="zh-TW"/>
              </w:rPr>
              <w:t>相关内容的得0分。</w:t>
            </w:r>
          </w:p>
        </w:tc>
      </w:tr>
      <w:tr w14:paraId="33AB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83" w:type="pct"/>
            <w:vMerge w:val="continue"/>
            <w:vAlign w:val="center"/>
          </w:tcPr>
          <w:p w14:paraId="35EB6F8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outlineLvl w:val="9"/>
              <w:rPr>
                <w:rFonts w:hint="eastAsia" w:ascii="宋体" w:hAnsi="宋体" w:eastAsia="宋体" w:cs="宋体"/>
                <w:sz w:val="21"/>
                <w:szCs w:val="21"/>
                <w:lang w:val="en-US" w:eastAsia="zh-CN"/>
              </w:rPr>
            </w:pPr>
          </w:p>
        </w:tc>
        <w:tc>
          <w:tcPr>
            <w:tcW w:w="856" w:type="pct"/>
            <w:vAlign w:val="center"/>
          </w:tcPr>
          <w:p w14:paraId="75A24C8C">
            <w:pPr>
              <w:pStyle w:val="7"/>
              <w:keepNext w:val="0"/>
              <w:keepLines w:val="0"/>
              <w:pageBreakBefore w:val="0"/>
              <w:wordWrap/>
              <w:overflowPunct/>
              <w:topLinePunct w:val="0"/>
              <w:bidi w:val="0"/>
              <w:spacing w:line="400" w:lineRule="exact"/>
              <w:ind w:left="0" w:leftChars="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培训方案</w:t>
            </w:r>
          </w:p>
          <w:p w14:paraId="5098A0F7">
            <w:pPr>
              <w:pStyle w:val="7"/>
              <w:keepNext w:val="0"/>
              <w:keepLines w:val="0"/>
              <w:pageBreakBefore w:val="0"/>
              <w:wordWrap/>
              <w:overflowPunct/>
              <w:topLinePunct w:val="0"/>
              <w:bidi w:val="0"/>
              <w:spacing w:line="400" w:lineRule="exact"/>
              <w:ind w:left="0" w:leftChars="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6分</w:t>
            </w:r>
            <w:r>
              <w:rPr>
                <w:rFonts w:hint="eastAsia" w:ascii="宋体" w:hAnsi="宋体" w:eastAsia="宋体" w:cs="宋体"/>
                <w:color w:val="auto"/>
                <w:kern w:val="0"/>
                <w:sz w:val="21"/>
                <w:szCs w:val="21"/>
                <w:highlight w:val="none"/>
                <w:lang w:eastAsia="zh-CN"/>
              </w:rPr>
              <w:t>）</w:t>
            </w:r>
          </w:p>
        </w:tc>
        <w:tc>
          <w:tcPr>
            <w:tcW w:w="3659" w:type="pct"/>
            <w:vAlign w:val="center"/>
          </w:tcPr>
          <w:p w14:paraId="61A94656">
            <w:pPr>
              <w:keepNext w:val="0"/>
              <w:keepLines w:val="0"/>
              <w:pageBreakBefore w:val="0"/>
              <w:wordWrap/>
              <w:overflowPunct/>
              <w:topLinePunct w:val="0"/>
              <w:autoSpaceDE w:val="0"/>
              <w:autoSpaceDN w:val="0"/>
              <w:bidi w:val="0"/>
              <w:adjustRightInd w:val="0"/>
              <w:spacing w:line="400" w:lineRule="exact"/>
              <w:ind w:left="0" w:leftChars="0" w:right="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根据投标人提供的培训方案（内容至少包括①培训内容、②培训形式、③培训计划、④培训效果、⑤培训师资力量、⑥课时安排、⑦培训时间安排）进行综合评审。培训方案</w:t>
            </w:r>
            <w:r>
              <w:rPr>
                <w:rFonts w:hint="eastAsia" w:ascii="宋体" w:hAnsi="宋体" w:eastAsia="宋体" w:cs="宋体"/>
                <w:color w:val="auto"/>
                <w:kern w:val="0"/>
                <w:sz w:val="21"/>
                <w:szCs w:val="21"/>
                <w:highlight w:val="none"/>
                <w:lang w:val="zh-TW"/>
              </w:rPr>
              <w:t>对每项内容</w:t>
            </w:r>
            <w:r>
              <w:rPr>
                <w:rFonts w:hint="eastAsia" w:ascii="宋体" w:hAnsi="宋体" w:eastAsia="宋体" w:cs="宋体"/>
                <w:color w:val="auto"/>
                <w:kern w:val="0"/>
                <w:sz w:val="21"/>
                <w:szCs w:val="21"/>
                <w:highlight w:val="none"/>
              </w:rPr>
              <w:t>均有</w:t>
            </w:r>
            <w:r>
              <w:rPr>
                <w:rFonts w:hint="eastAsia" w:ascii="宋体" w:hAnsi="宋体" w:eastAsia="宋体" w:cs="宋体"/>
                <w:color w:val="auto"/>
                <w:kern w:val="0"/>
                <w:sz w:val="21"/>
                <w:szCs w:val="21"/>
                <w:highlight w:val="none"/>
                <w:lang w:val="zh-TW"/>
              </w:rPr>
              <w:t>论述</w:t>
            </w:r>
            <w:r>
              <w:rPr>
                <w:rFonts w:hint="eastAsia" w:ascii="宋体" w:hAnsi="宋体" w:eastAsia="宋体" w:cs="宋体"/>
                <w:color w:val="auto"/>
                <w:kern w:val="0"/>
                <w:sz w:val="21"/>
                <w:szCs w:val="21"/>
                <w:highlight w:val="none"/>
              </w:rPr>
              <w:t>、符合项目特点，</w:t>
            </w:r>
            <w:r>
              <w:rPr>
                <w:rFonts w:hint="eastAsia" w:ascii="宋体" w:hAnsi="宋体" w:eastAsia="宋体" w:cs="宋体"/>
                <w:color w:val="auto"/>
                <w:kern w:val="0"/>
                <w:sz w:val="21"/>
                <w:szCs w:val="21"/>
                <w:highlight w:val="none"/>
                <w:lang w:val="zh-TW"/>
              </w:rPr>
              <w:t>完全贴合项目采购需求的得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TW"/>
              </w:rPr>
              <w:t>分；</w:t>
            </w:r>
            <w:r>
              <w:rPr>
                <w:rFonts w:hint="eastAsia" w:ascii="宋体" w:hAnsi="宋体" w:eastAsia="宋体" w:cs="宋体"/>
                <w:color w:val="auto"/>
                <w:kern w:val="0"/>
                <w:sz w:val="21"/>
                <w:szCs w:val="21"/>
                <w:highlight w:val="none"/>
              </w:rPr>
              <w:t>培训方案</w:t>
            </w:r>
            <w:r>
              <w:rPr>
                <w:rFonts w:hint="eastAsia" w:ascii="宋体" w:hAnsi="宋体" w:eastAsia="宋体" w:cs="宋体"/>
                <w:color w:val="auto"/>
                <w:kern w:val="0"/>
                <w:sz w:val="21"/>
                <w:szCs w:val="21"/>
                <w:highlight w:val="none"/>
                <w:lang w:val="zh-TW"/>
              </w:rPr>
              <w:t>对每项内容虽</w:t>
            </w:r>
            <w:r>
              <w:rPr>
                <w:rFonts w:hint="eastAsia" w:ascii="宋体" w:hAnsi="宋体" w:eastAsia="宋体" w:cs="宋体"/>
                <w:color w:val="auto"/>
                <w:kern w:val="0"/>
                <w:sz w:val="21"/>
                <w:szCs w:val="21"/>
                <w:highlight w:val="none"/>
              </w:rPr>
              <w:t>有</w:t>
            </w:r>
            <w:r>
              <w:rPr>
                <w:rFonts w:hint="eastAsia" w:ascii="宋体" w:hAnsi="宋体" w:eastAsia="宋体" w:cs="宋体"/>
                <w:color w:val="auto"/>
                <w:kern w:val="0"/>
                <w:sz w:val="21"/>
                <w:szCs w:val="21"/>
                <w:highlight w:val="none"/>
                <w:lang w:val="zh-TW"/>
              </w:rPr>
              <w:t>阐述但未贴合采购需求进行论述或内容未包括具体细节的得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TW"/>
              </w:rPr>
              <w:t>分</w:t>
            </w:r>
            <w:r>
              <w:rPr>
                <w:rFonts w:hint="eastAsia" w:ascii="宋体" w:hAnsi="宋体" w:eastAsia="宋体" w:cs="宋体"/>
                <w:color w:val="auto"/>
                <w:kern w:val="0"/>
                <w:sz w:val="21"/>
                <w:szCs w:val="21"/>
                <w:highlight w:val="none"/>
              </w:rPr>
              <w:t>；培训方案</w:t>
            </w:r>
            <w:r>
              <w:rPr>
                <w:rFonts w:hint="eastAsia" w:ascii="宋体" w:hAnsi="宋体" w:eastAsia="宋体" w:cs="宋体"/>
                <w:color w:val="auto"/>
                <w:kern w:val="0"/>
                <w:sz w:val="21"/>
                <w:szCs w:val="21"/>
                <w:highlight w:val="none"/>
                <w:lang w:val="zh-TW"/>
              </w:rPr>
              <w:t>提供的内容不完整的得1分；未提供</w:t>
            </w:r>
            <w:r>
              <w:rPr>
                <w:rFonts w:hint="eastAsia" w:ascii="宋体" w:hAnsi="宋体" w:eastAsia="宋体" w:cs="宋体"/>
                <w:color w:val="auto"/>
                <w:kern w:val="0"/>
                <w:sz w:val="21"/>
                <w:szCs w:val="21"/>
                <w:highlight w:val="none"/>
              </w:rPr>
              <w:t>培训方案</w:t>
            </w:r>
            <w:r>
              <w:rPr>
                <w:rFonts w:hint="eastAsia" w:ascii="宋体" w:hAnsi="宋体" w:eastAsia="宋体" w:cs="宋体"/>
                <w:color w:val="auto"/>
                <w:kern w:val="0"/>
                <w:sz w:val="21"/>
                <w:szCs w:val="21"/>
                <w:highlight w:val="none"/>
                <w:lang w:val="zh-TW"/>
              </w:rPr>
              <w:t>相关内容的得0分。</w:t>
            </w:r>
          </w:p>
        </w:tc>
      </w:tr>
      <w:tr w14:paraId="40DEB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83" w:type="pct"/>
            <w:vMerge w:val="continue"/>
            <w:vAlign w:val="center"/>
          </w:tcPr>
          <w:p w14:paraId="7520116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center"/>
              <w:textAlignment w:val="baseline"/>
              <w:outlineLvl w:val="9"/>
              <w:rPr>
                <w:rFonts w:hint="eastAsia" w:ascii="宋体" w:hAnsi="宋体" w:eastAsia="宋体" w:cs="宋体"/>
                <w:sz w:val="21"/>
                <w:szCs w:val="21"/>
                <w:lang w:val="en-US" w:eastAsia="zh-CN"/>
              </w:rPr>
            </w:pPr>
          </w:p>
        </w:tc>
        <w:tc>
          <w:tcPr>
            <w:tcW w:w="856" w:type="pct"/>
            <w:vAlign w:val="center"/>
          </w:tcPr>
          <w:p w14:paraId="501DC7C5">
            <w:pPr>
              <w:pStyle w:val="7"/>
              <w:keepNext w:val="0"/>
              <w:keepLines w:val="0"/>
              <w:pageBreakBefore w:val="0"/>
              <w:wordWrap/>
              <w:overflowPunct/>
              <w:topLinePunct w:val="0"/>
              <w:bidi w:val="0"/>
              <w:spacing w:line="400" w:lineRule="exact"/>
              <w:ind w:left="0" w:leftChars="0" w:right="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环保节能</w:t>
            </w:r>
          </w:p>
          <w:p w14:paraId="0AF26833">
            <w:pPr>
              <w:pStyle w:val="7"/>
              <w:keepNext w:val="0"/>
              <w:keepLines w:val="0"/>
              <w:pageBreakBefore w:val="0"/>
              <w:wordWrap/>
              <w:overflowPunct/>
              <w:topLinePunct w:val="0"/>
              <w:bidi w:val="0"/>
              <w:spacing w:line="400" w:lineRule="exact"/>
              <w:ind w:left="0" w:leftChars="0" w:right="0"/>
              <w:jc w:val="center"/>
              <w:outlineLvl w:val="9"/>
              <w:rPr>
                <w:rFonts w:hint="eastAsia" w:ascii="宋体" w:hAnsi="宋体" w:eastAsia="宋体" w:cs="宋体"/>
                <w:sz w:val="21"/>
                <w:szCs w:val="21"/>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2分</w:t>
            </w:r>
            <w:r>
              <w:rPr>
                <w:rFonts w:hint="eastAsia" w:ascii="宋体" w:hAnsi="宋体" w:eastAsia="宋体" w:cs="宋体"/>
                <w:color w:val="auto"/>
                <w:kern w:val="0"/>
                <w:sz w:val="21"/>
                <w:szCs w:val="21"/>
                <w:highlight w:val="none"/>
                <w:lang w:eastAsia="zh-CN"/>
              </w:rPr>
              <w:t>）</w:t>
            </w:r>
          </w:p>
        </w:tc>
        <w:tc>
          <w:tcPr>
            <w:tcW w:w="3659" w:type="pct"/>
            <w:vAlign w:val="center"/>
          </w:tcPr>
          <w:p w14:paraId="36B4647E">
            <w:pPr>
              <w:keepNext w:val="0"/>
              <w:keepLines w:val="0"/>
              <w:pageBreakBefore w:val="0"/>
              <w:wordWrap/>
              <w:overflowPunct/>
              <w:topLinePunct w:val="0"/>
              <w:bidi w:val="0"/>
              <w:spacing w:line="400" w:lineRule="exact"/>
              <w:ind w:left="0" w:leftChars="0" w:right="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除政府强制采购节能产品外，拟供产品列入《节能产品政府采购品目清单》并提供国家确定的认证机构出具的、处于有效期之内的节能产品认证证书的，每有一项得0.</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分，最多得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分，不提供的得0分。</w:t>
            </w:r>
          </w:p>
          <w:p w14:paraId="0A5F733A">
            <w:pPr>
              <w:keepNext w:val="0"/>
              <w:keepLines w:val="0"/>
              <w:pageBreakBefore w:val="0"/>
              <w:wordWrap/>
              <w:overflowPunct/>
              <w:topLinePunct w:val="0"/>
              <w:autoSpaceDE w:val="0"/>
              <w:autoSpaceDN w:val="0"/>
              <w:bidi w:val="0"/>
              <w:adjustRightInd w:val="0"/>
              <w:spacing w:line="400" w:lineRule="exact"/>
              <w:ind w:left="0" w:leftChars="0" w:right="0"/>
              <w:outlineLvl w:val="9"/>
              <w:rPr>
                <w:rFonts w:hint="eastAsia" w:ascii="宋体" w:hAnsi="宋体" w:eastAsia="宋体" w:cs="宋体"/>
                <w:sz w:val="21"/>
                <w:szCs w:val="21"/>
              </w:rPr>
            </w:pPr>
            <w:r>
              <w:rPr>
                <w:rFonts w:hint="eastAsia" w:ascii="宋体" w:hAnsi="宋体" w:eastAsia="宋体" w:cs="宋体"/>
                <w:bCs/>
                <w:color w:val="auto"/>
                <w:sz w:val="21"/>
                <w:szCs w:val="21"/>
                <w:highlight w:val="none"/>
              </w:rPr>
              <w:t>拟供产品列入《环境标志产品政府采购品目清单》并提供国家确定的认证机构出具的、处于有效期之内的环境标志产品认证证书的，每有一项得 0.5分，最多得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分，不提供的得0分。</w:t>
            </w:r>
          </w:p>
        </w:tc>
      </w:tr>
      <w:tr w14:paraId="7C1EA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483" w:type="pct"/>
            <w:vAlign w:val="center"/>
          </w:tcPr>
          <w:p w14:paraId="36680544">
            <w:pPr>
              <w:keepNext w:val="0"/>
              <w:keepLines w:val="0"/>
              <w:pageBreakBefore w:val="0"/>
              <w:widowControl w:val="0"/>
              <w:wordWrap/>
              <w:overflowPunct/>
              <w:topLinePunct w:val="0"/>
              <w:bidi w:val="0"/>
              <w:spacing w:before="0" w:line="400" w:lineRule="exact"/>
              <w:ind w:left="0" w:leftChars="0" w:right="0"/>
              <w:jc w:val="center"/>
              <w:outlineLvl w:val="9"/>
              <w:rPr>
                <w:rFonts w:hint="eastAsia" w:ascii="宋体" w:hAnsi="宋体" w:eastAsia="宋体" w:cs="宋体"/>
                <w:sz w:val="21"/>
                <w:szCs w:val="21"/>
                <w:lang w:val="en-US" w:eastAsia="zh-CN"/>
              </w:rPr>
            </w:pPr>
            <w:r>
              <w:rPr>
                <w:rFonts w:hint="eastAsia" w:ascii="宋体" w:hAnsi="宋体" w:eastAsia="宋体" w:cs="宋体"/>
                <w:color w:val="auto"/>
                <w:kern w:val="0"/>
                <w:sz w:val="21"/>
                <w:szCs w:val="21"/>
                <w:highlight w:val="none"/>
                <w:lang w:val="en-US" w:eastAsia="zh-CN" w:bidi="ar-SA"/>
              </w:rPr>
              <w:t>技术部分评分标准（40分）</w:t>
            </w:r>
          </w:p>
        </w:tc>
        <w:tc>
          <w:tcPr>
            <w:tcW w:w="856" w:type="pct"/>
            <w:tcBorders>
              <w:right w:val="single" w:color="auto" w:sz="4" w:space="0"/>
            </w:tcBorders>
            <w:vAlign w:val="center"/>
          </w:tcPr>
          <w:p w14:paraId="155386CA">
            <w:pPr>
              <w:keepNext w:val="0"/>
              <w:keepLines w:val="0"/>
              <w:pageBreakBefore w:val="0"/>
              <w:widowControl w:val="0"/>
              <w:wordWrap/>
              <w:overflowPunct/>
              <w:topLinePunct w:val="0"/>
              <w:bidi w:val="0"/>
              <w:spacing w:before="0" w:line="400" w:lineRule="exact"/>
              <w:ind w:left="0" w:leftChars="0" w:right="0"/>
              <w:jc w:val="center"/>
              <w:outlineLvl w:val="9"/>
              <w:rPr>
                <w:rFonts w:hint="eastAsia" w:ascii="宋体" w:hAnsi="宋体" w:eastAsia="宋体" w:cs="宋体"/>
                <w:sz w:val="21"/>
                <w:szCs w:val="21"/>
                <w:lang w:eastAsia="zh-CN"/>
              </w:rPr>
            </w:pPr>
            <w:r>
              <w:rPr>
                <w:rFonts w:hint="eastAsia" w:ascii="宋体" w:hAnsi="宋体" w:eastAsia="宋体" w:cs="宋体"/>
                <w:color w:val="auto"/>
                <w:kern w:val="0"/>
                <w:sz w:val="21"/>
                <w:szCs w:val="21"/>
                <w:highlight w:val="none"/>
                <w:lang w:val="en-US" w:eastAsia="zh-CN" w:bidi="ar-SA"/>
              </w:rPr>
              <w:t>投标产品技术性能指标的响应程度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40分</w:t>
            </w:r>
            <w:r>
              <w:rPr>
                <w:rFonts w:hint="eastAsia" w:ascii="宋体" w:hAnsi="宋体" w:eastAsia="宋体" w:cs="宋体"/>
                <w:sz w:val="21"/>
                <w:szCs w:val="21"/>
                <w:lang w:eastAsia="zh-CN"/>
              </w:rPr>
              <w:t>）</w:t>
            </w:r>
          </w:p>
        </w:tc>
        <w:tc>
          <w:tcPr>
            <w:tcW w:w="3659" w:type="pct"/>
            <w:tcBorders>
              <w:left w:val="single" w:color="auto" w:sz="4" w:space="0"/>
            </w:tcBorders>
            <w:vAlign w:val="center"/>
          </w:tcPr>
          <w:p w14:paraId="580D64F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1.投标货物技术性能指标完全符合招标文件要求的，得</w:t>
            </w:r>
            <w:r>
              <w:rPr>
                <w:rFonts w:hint="eastAsia" w:ascii="宋体" w:hAnsi="宋体" w:eastAsia="宋体" w:cs="宋体"/>
                <w:sz w:val="21"/>
                <w:szCs w:val="21"/>
                <w:lang w:val="en-US" w:eastAsia="zh-CN"/>
              </w:rPr>
              <w:t>4</w:t>
            </w:r>
            <w:r>
              <w:rPr>
                <w:rFonts w:hint="eastAsia" w:ascii="宋体" w:hAnsi="宋体" w:eastAsia="宋体" w:cs="宋体"/>
                <w:sz w:val="21"/>
                <w:szCs w:val="21"/>
              </w:rPr>
              <w:t>0分。</w:t>
            </w:r>
          </w:p>
          <w:p w14:paraId="4ABB647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2.带“</w:t>
            </w:r>
            <w:r>
              <w:rPr>
                <w:rFonts w:hint="eastAsia" w:ascii="宋体" w:hAnsi="宋体" w:eastAsia="宋体" w:cs="宋体"/>
                <w:b w:val="0"/>
                <w:bCs w:val="0"/>
                <w:snapToGrid/>
                <w:kern w:val="2"/>
                <w:sz w:val="21"/>
                <w:szCs w:val="21"/>
                <w:lang w:eastAsia="zh-CN"/>
              </w:rPr>
              <w:t>★</w:t>
            </w:r>
            <w:r>
              <w:rPr>
                <w:rFonts w:hint="eastAsia" w:ascii="宋体" w:hAnsi="宋体" w:eastAsia="宋体" w:cs="宋体"/>
                <w:sz w:val="21"/>
                <w:szCs w:val="21"/>
              </w:rPr>
              <w:t>”技术性能指标要求为本次招标实质性要求和条件，需提供技术支持资料。技术支持资料以制造商公开发布的印刷资料，或检测机构出具的检测报告或</w:t>
            </w:r>
            <w:r>
              <w:rPr>
                <w:rFonts w:hint="eastAsia" w:ascii="宋体" w:hAnsi="宋体" w:eastAsia="宋体" w:cs="宋体"/>
                <w:sz w:val="21"/>
                <w:szCs w:val="21"/>
                <w:lang w:val="en-US" w:eastAsia="zh-CN"/>
              </w:rPr>
              <w:t>招标文件</w:t>
            </w:r>
            <w:r>
              <w:rPr>
                <w:rFonts w:hint="eastAsia" w:ascii="宋体" w:hAnsi="宋体" w:eastAsia="宋体" w:cs="宋体"/>
                <w:sz w:val="21"/>
                <w:szCs w:val="21"/>
              </w:rPr>
              <w:t>允许的其他形式为准，不符合前述要求的，视为无技术支持资料，其投标无效。</w:t>
            </w:r>
          </w:p>
          <w:p w14:paraId="1845324F">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.非标注</w:t>
            </w:r>
            <w:r>
              <w:rPr>
                <w:rFonts w:hint="eastAsia" w:ascii="宋体" w:hAnsi="宋体" w:eastAsia="宋体" w:cs="宋体"/>
                <w:b w:val="0"/>
                <w:bCs w:val="0"/>
                <w:snapToGrid/>
                <w:kern w:val="2"/>
                <w:sz w:val="21"/>
                <w:szCs w:val="21"/>
                <w:lang w:eastAsia="zh-CN"/>
              </w:rPr>
              <w:t>★</w:t>
            </w:r>
            <w:r>
              <w:rPr>
                <w:rFonts w:hint="eastAsia" w:ascii="宋体" w:hAnsi="宋体" w:eastAsia="宋体" w:cs="宋体"/>
                <w:sz w:val="21"/>
                <w:szCs w:val="21"/>
              </w:rPr>
              <w:t>的技术性能指标为本次招标产品通用要求，需提供技术支持资料。技术支持资料以制造商公开发布的印刷资料，或检测机构出具的检验报告或</w:t>
            </w:r>
            <w:r>
              <w:rPr>
                <w:rFonts w:hint="eastAsia" w:ascii="宋体" w:hAnsi="宋体" w:eastAsia="宋体" w:cs="宋体"/>
                <w:sz w:val="21"/>
                <w:szCs w:val="21"/>
                <w:lang w:val="en-US" w:eastAsia="zh-CN"/>
              </w:rPr>
              <w:t>招标文件</w:t>
            </w:r>
            <w:r>
              <w:rPr>
                <w:rFonts w:hint="eastAsia" w:ascii="宋体" w:hAnsi="宋体" w:eastAsia="宋体" w:cs="宋体"/>
                <w:sz w:val="21"/>
                <w:szCs w:val="21"/>
              </w:rPr>
              <w:t>允许的其他形式为准，不符合前述要求的，视为无技术支持资料，每有一项不满足（负偏差）扣</w:t>
            </w:r>
            <w:r>
              <w:rPr>
                <w:rFonts w:hint="eastAsia" w:ascii="宋体" w:hAnsi="宋体" w:eastAsia="宋体" w:cs="宋体"/>
                <w:sz w:val="21"/>
                <w:szCs w:val="21"/>
                <w:lang w:val="en-US" w:eastAsia="zh-CN"/>
              </w:rPr>
              <w:t>0.27</w:t>
            </w:r>
            <w:r>
              <w:rPr>
                <w:rFonts w:hint="eastAsia" w:ascii="宋体" w:hAnsi="宋体" w:eastAsia="宋体" w:cs="宋体"/>
                <w:sz w:val="21"/>
                <w:szCs w:val="21"/>
              </w:rPr>
              <w:t>分，扣完本项评分为止。</w:t>
            </w:r>
          </w:p>
          <w:p w14:paraId="24CB7F86">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jc w:val="left"/>
              <w:textAlignment w:val="baseline"/>
              <w:outlineLvl w:val="9"/>
              <w:rPr>
                <w:rFonts w:hint="eastAsia" w:ascii="宋体" w:hAnsi="宋体" w:eastAsia="宋体" w:cs="宋体"/>
                <w:sz w:val="21"/>
                <w:szCs w:val="21"/>
              </w:rPr>
            </w:pPr>
            <w:r>
              <w:rPr>
                <w:rFonts w:hint="eastAsia" w:ascii="宋体" w:hAnsi="宋体" w:eastAsia="宋体" w:cs="宋体"/>
                <w:sz w:val="21"/>
                <w:szCs w:val="21"/>
              </w:rPr>
              <w:t>注：投标文件《采购需求偏离表》应对招标文件第五章采购需求所列要求逐条响应，并注明在投标文件第几页、第几项或在相应的技术支持文件上做出醒目标注，明确列明所投产品技术要求响应内容。投标人在《采购需求偏离表》的</w:t>
            </w:r>
            <w:r>
              <w:rPr>
                <w:rFonts w:hint="eastAsia" w:ascii="宋体" w:hAnsi="宋体" w:eastAsia="宋体" w:cs="宋体"/>
                <w:sz w:val="21"/>
                <w:szCs w:val="21"/>
                <w:lang w:val="en-US" w:eastAsia="zh-CN"/>
              </w:rPr>
              <w:t>偏离情况</w:t>
            </w:r>
            <w:r>
              <w:rPr>
                <w:rFonts w:hint="eastAsia" w:ascii="宋体" w:hAnsi="宋体" w:eastAsia="宋体" w:cs="宋体"/>
                <w:sz w:val="21"/>
                <w:szCs w:val="21"/>
              </w:rPr>
              <w:t>处填写“无偏离”、“正偏离”，但在提供的证明文件中并未找到该条款“符合”的依据，此条款将按“负偏离”进行扣分。</w:t>
            </w:r>
          </w:p>
        </w:tc>
      </w:tr>
    </w:tbl>
    <w:p w14:paraId="27CA5A55">
      <w:pPr>
        <w:spacing w:before="37"/>
      </w:pPr>
    </w:p>
    <w:p w14:paraId="3C9D1CFB">
      <w:pPr>
        <w:rPr>
          <w:rFonts w:ascii="Arial"/>
          <w:sz w:val="21"/>
        </w:rPr>
      </w:pPr>
    </w:p>
    <w:p w14:paraId="42961AB0">
      <w:pPr>
        <w:rPr>
          <w:rFonts w:ascii="Arial" w:hAnsi="Arial" w:eastAsia="Arial" w:cs="Arial"/>
          <w:sz w:val="21"/>
          <w:szCs w:val="21"/>
        </w:rPr>
        <w:sectPr>
          <w:headerReference r:id="rId13" w:type="default"/>
          <w:footerReference r:id="rId14" w:type="default"/>
          <w:pgSz w:w="11905" w:h="16838"/>
          <w:pgMar w:top="1361" w:right="1417" w:bottom="1247" w:left="1417" w:header="839" w:footer="884" w:gutter="0"/>
          <w:pgNumType w:fmt="numberInDash"/>
          <w:cols w:space="0" w:num="1"/>
          <w:rtlGutter w:val="0"/>
          <w:docGrid w:linePitch="0" w:charSpace="0"/>
        </w:sectPr>
      </w:pPr>
    </w:p>
    <w:p w14:paraId="352C8F1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b/>
          <w:bCs/>
          <w:spacing w:val="7"/>
          <w:sz w:val="30"/>
          <w:szCs w:val="30"/>
        </w:rPr>
      </w:pPr>
      <w:bookmarkStart w:id="87" w:name="_Toc10239"/>
      <w:bookmarkStart w:id="88" w:name="_Toc22754"/>
      <w:r>
        <w:rPr>
          <w:b/>
          <w:bCs/>
          <w:spacing w:val="7"/>
          <w:sz w:val="30"/>
          <w:szCs w:val="30"/>
        </w:rPr>
        <w:t>第五章</w:t>
      </w:r>
      <w:r>
        <w:rPr>
          <w:rFonts w:hint="eastAsia"/>
          <w:b/>
          <w:bCs/>
          <w:spacing w:val="7"/>
          <w:sz w:val="30"/>
          <w:szCs w:val="30"/>
          <w:lang w:val="en-US" w:eastAsia="zh-CN"/>
        </w:rPr>
        <w:t xml:space="preserve">  </w:t>
      </w:r>
      <w:r>
        <w:rPr>
          <w:b/>
          <w:bCs/>
          <w:spacing w:val="7"/>
          <w:sz w:val="30"/>
          <w:szCs w:val="30"/>
        </w:rPr>
        <w:t>采购需求</w:t>
      </w:r>
      <w:bookmarkEnd w:id="87"/>
      <w:bookmarkEnd w:id="88"/>
    </w:p>
    <w:p w14:paraId="22C9507C">
      <w:pPr>
        <w:keepNext w:val="0"/>
        <w:keepLines w:val="0"/>
        <w:pageBreakBefore w:val="0"/>
        <w:widowControl/>
        <w:kinsoku/>
        <w:wordWrap/>
        <w:overflowPunct/>
        <w:topLinePunct w:val="0"/>
        <w:autoSpaceDE/>
        <w:autoSpaceDN/>
        <w:bidi w:val="0"/>
        <w:adjustRightInd/>
        <w:snapToGrid/>
        <w:spacing w:line="276" w:lineRule="auto"/>
        <w:ind w:left="0" w:leftChars="0" w:firstLine="0" w:firstLineChars="0"/>
        <w:jc w:val="center"/>
        <w:textAlignment w:val="auto"/>
        <w:outlineLvl w:val="1"/>
        <w:rPr>
          <w:rFonts w:hint="eastAsia" w:ascii="宋体" w:hAnsi="宋体" w:eastAsia="宋体" w:cs="宋体"/>
          <w:b/>
          <w:bCs/>
          <w:snapToGrid/>
          <w:kern w:val="2"/>
          <w:sz w:val="28"/>
          <w:szCs w:val="28"/>
          <w:lang w:val="en-US" w:eastAsia="zh-CN"/>
        </w:rPr>
      </w:pPr>
      <w:bookmarkStart w:id="89" w:name="_Toc23799"/>
      <w:bookmarkStart w:id="90" w:name="_Toc19735"/>
      <w:r>
        <w:rPr>
          <w:rFonts w:hint="eastAsia" w:ascii="宋体" w:hAnsi="宋体" w:eastAsia="宋体" w:cs="宋体"/>
          <w:b/>
          <w:bCs/>
          <w:snapToGrid/>
          <w:kern w:val="2"/>
          <w:sz w:val="28"/>
          <w:szCs w:val="28"/>
          <w:lang w:val="en-US" w:eastAsia="zh-CN"/>
        </w:rPr>
        <w:t>1.全自动多参数滴定分析仪</w:t>
      </w:r>
      <w:bookmarkEnd w:id="89"/>
      <w:bookmarkEnd w:id="90"/>
    </w:p>
    <w:p w14:paraId="60D89DB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一、总体要求</w:t>
      </w:r>
    </w:p>
    <w:p w14:paraId="606BF9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1.仪器为全自动一体化分析系统，集成消解、滴定、自动进样、数据计算、报告输出于一体，完全依据国标方法全自动完成检测，无需人工值守。</w:t>
      </w:r>
    </w:p>
    <w:p w14:paraId="3171DA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2.仪器符合GB11892-89、GB/T 5750.7-2023、GB/T 5750.4-2023、GB/T 13025.7-2012标准方法的规定。必须满足以下三项国标方法全覆盖：</w:t>
      </w:r>
    </w:p>
    <w:p w14:paraId="0A3256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高锰酸盐指数：GB/T 5750.7第4部分</w:t>
      </w:r>
    </w:p>
    <w:p w14:paraId="165984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总硬度：GB/T 5750.4第10部分</w:t>
      </w:r>
    </w:p>
    <w:p w14:paraId="5E5406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盐中碘：GB/T 13025.7直接滴定法、氧化还原滴定法</w:t>
      </w:r>
    </w:p>
    <w:p w14:paraId="6DC393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snapToGrid/>
          <w:kern w:val="2"/>
          <w:sz w:val="24"/>
          <w:szCs w:val="24"/>
          <w:lang w:eastAsia="zh-CN"/>
        </w:rPr>
        <w:t>3.整机运行稳定、管路耐腐蚀抗氧化，适合疾控实验室日常批量检测。</w:t>
      </w:r>
    </w:p>
    <w:p w14:paraId="7202124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val="en-US" w:eastAsia="zh-CN"/>
        </w:rPr>
        <w:t>二、主要</w:t>
      </w:r>
      <w:r>
        <w:rPr>
          <w:rFonts w:hint="eastAsia" w:ascii="宋体" w:hAnsi="宋体" w:eastAsia="宋体" w:cs="宋体"/>
          <w:b/>
          <w:bCs/>
          <w:snapToGrid/>
          <w:kern w:val="2"/>
          <w:sz w:val="24"/>
          <w:szCs w:val="24"/>
          <w:lang w:eastAsia="zh-CN"/>
        </w:rPr>
        <w:t>用途</w:t>
      </w:r>
    </w:p>
    <w:p w14:paraId="60840D9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1.仪器适用于饮用水、水源水和地</w:t>
      </w:r>
      <w:r>
        <w:rPr>
          <w:rFonts w:hint="eastAsia" w:ascii="宋体" w:hAnsi="宋体" w:eastAsia="宋体" w:cs="宋体"/>
          <w:snapToGrid/>
          <w:kern w:val="2"/>
          <w:sz w:val="24"/>
          <w:szCs w:val="24"/>
          <w:lang w:val="en-US" w:eastAsia="zh-CN"/>
        </w:rPr>
        <w:t>表</w:t>
      </w:r>
      <w:r>
        <w:rPr>
          <w:rFonts w:hint="eastAsia" w:ascii="宋体" w:hAnsi="宋体" w:eastAsia="宋体" w:cs="宋体"/>
          <w:snapToGrid/>
          <w:kern w:val="2"/>
          <w:sz w:val="24"/>
          <w:szCs w:val="24"/>
          <w:lang w:eastAsia="zh-CN"/>
        </w:rPr>
        <w:t>水、</w:t>
      </w:r>
      <w:r>
        <w:rPr>
          <w:rFonts w:hint="eastAsia" w:ascii="宋体" w:hAnsi="宋体" w:eastAsia="宋体" w:cs="宋体"/>
          <w:snapToGrid/>
          <w:kern w:val="2"/>
          <w:sz w:val="24"/>
          <w:szCs w:val="24"/>
          <w:lang w:val="en-US" w:eastAsia="zh-CN"/>
        </w:rPr>
        <w:t>地下水等</w:t>
      </w:r>
      <w:r>
        <w:rPr>
          <w:rFonts w:hint="eastAsia" w:ascii="宋体" w:hAnsi="宋体" w:eastAsia="宋体" w:cs="宋体"/>
          <w:snapToGrid/>
          <w:kern w:val="2"/>
          <w:sz w:val="24"/>
          <w:szCs w:val="24"/>
          <w:lang w:eastAsia="zh-CN"/>
        </w:rPr>
        <w:t>的高锰酸盐指数的检测，支持酸性和碱性分析，测定范围为0.05~5.0 mg/L。</w:t>
      </w:r>
    </w:p>
    <w:p w14:paraId="1AE5DE8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2</w:t>
      </w:r>
      <w:r>
        <w:rPr>
          <w:rFonts w:hint="eastAsia" w:ascii="宋体" w:hAnsi="宋体" w:eastAsia="宋体" w:cs="宋体"/>
          <w:snapToGrid/>
          <w:kern w:val="2"/>
          <w:sz w:val="24"/>
          <w:szCs w:val="24"/>
          <w:lang w:eastAsia="zh-CN"/>
        </w:rPr>
        <w:t>.仪器适用于</w:t>
      </w:r>
      <w:bookmarkStart w:id="91" w:name="_Hlk97632912"/>
      <w:r>
        <w:rPr>
          <w:rFonts w:hint="eastAsia" w:ascii="宋体" w:hAnsi="宋体" w:eastAsia="宋体" w:cs="宋体"/>
          <w:snapToGrid/>
          <w:kern w:val="2"/>
          <w:sz w:val="24"/>
          <w:szCs w:val="24"/>
          <w:lang w:eastAsia="zh-CN"/>
        </w:rPr>
        <w:t>乙二胺四乙酸二钠滴定法</w:t>
      </w:r>
      <w:bookmarkEnd w:id="91"/>
      <w:r>
        <w:rPr>
          <w:rFonts w:hint="eastAsia" w:ascii="宋体" w:hAnsi="宋体" w:eastAsia="宋体" w:cs="宋体"/>
          <w:snapToGrid/>
          <w:kern w:val="2"/>
          <w:sz w:val="24"/>
          <w:szCs w:val="24"/>
          <w:lang w:eastAsia="zh-CN"/>
        </w:rPr>
        <w:t>测定生活饮用水及其水源水的总硬度，具体适用于生活用水、瓶（桶）矿泉水、地表水、地下水、锅炉水、废水、污水等没有严重污染的水质样品。该方法最低检测质量0.05mg，若取50mL水样测定，则最低检测质量浓度为1.0 mg/L。</w:t>
      </w:r>
    </w:p>
    <w:p w14:paraId="0494476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3</w:t>
      </w:r>
      <w:r>
        <w:rPr>
          <w:rFonts w:hint="eastAsia" w:ascii="宋体" w:hAnsi="宋体" w:eastAsia="宋体" w:cs="宋体"/>
          <w:snapToGrid/>
          <w:kern w:val="2"/>
          <w:sz w:val="24"/>
          <w:szCs w:val="24"/>
          <w:lang w:eastAsia="zh-CN"/>
        </w:rPr>
        <w:t>.仪器适用于添加碘酸盐的加碘食盐中碘的测定，测定范围≥0.5 mg/kg。</w:t>
      </w:r>
    </w:p>
    <w:p w14:paraId="7E0EB7E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napToGrid/>
          <w:kern w:val="2"/>
          <w:sz w:val="24"/>
          <w:szCs w:val="24"/>
          <w:lang w:val="en-US" w:eastAsia="zh-CN"/>
        </w:rPr>
      </w:pPr>
      <w:r>
        <w:rPr>
          <w:rFonts w:hint="eastAsia" w:ascii="宋体" w:hAnsi="宋体" w:eastAsia="宋体" w:cs="宋体"/>
          <w:b/>
          <w:bCs/>
          <w:snapToGrid/>
          <w:kern w:val="2"/>
          <w:sz w:val="24"/>
          <w:szCs w:val="24"/>
          <w:lang w:val="en-US" w:eastAsia="zh-CN"/>
        </w:rPr>
        <w:t>三、技术要求</w:t>
      </w:r>
    </w:p>
    <w:p w14:paraId="1233F12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kern w:val="2"/>
          <w:sz w:val="24"/>
          <w:szCs w:val="24"/>
          <w:lang w:eastAsia="zh-CN"/>
        </w:rPr>
      </w:pPr>
      <w:r>
        <w:rPr>
          <w:rFonts w:hint="eastAsia" w:ascii="宋体" w:hAnsi="宋体" w:eastAsia="宋体" w:cs="宋体"/>
          <w:b w:val="0"/>
          <w:bCs w:val="0"/>
          <w:snapToGrid/>
          <w:kern w:val="2"/>
          <w:sz w:val="24"/>
          <w:szCs w:val="24"/>
          <w:lang w:eastAsia="zh-CN"/>
        </w:rPr>
        <w:t>1.采用三维机械臂技术，</w:t>
      </w:r>
      <w:r>
        <w:rPr>
          <w:rFonts w:hint="eastAsia" w:ascii="宋体" w:hAnsi="宋体" w:eastAsia="宋体" w:cs="宋体"/>
          <w:b w:val="0"/>
          <w:bCs w:val="0"/>
          <w:snapToGrid/>
          <w:color w:val="auto"/>
          <w:kern w:val="2"/>
          <w:sz w:val="24"/>
          <w:szCs w:val="24"/>
          <w:lang w:val="en-US" w:eastAsia="zh-CN"/>
        </w:rPr>
        <w:t>无需额外气源设备，</w:t>
      </w:r>
      <w:r>
        <w:rPr>
          <w:rFonts w:hint="eastAsia" w:ascii="宋体" w:hAnsi="宋体" w:eastAsia="宋体" w:cs="宋体"/>
          <w:b w:val="0"/>
          <w:bCs w:val="0"/>
          <w:snapToGrid/>
          <w:kern w:val="2"/>
          <w:sz w:val="24"/>
          <w:szCs w:val="24"/>
          <w:lang w:eastAsia="zh-CN"/>
        </w:rPr>
        <w:t>可实现不同位置样品的准确抓取和释放；</w:t>
      </w:r>
    </w:p>
    <w:p w14:paraId="6FD2CA7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color w:val="000000"/>
          <w:kern w:val="2"/>
          <w:sz w:val="24"/>
          <w:szCs w:val="24"/>
          <w:lang w:eastAsia="zh-CN"/>
        </w:rPr>
      </w:pPr>
      <w:r>
        <w:rPr>
          <w:rFonts w:hint="eastAsia" w:ascii="宋体" w:hAnsi="宋体" w:eastAsia="宋体" w:cs="宋体"/>
          <w:b w:val="0"/>
          <w:bCs w:val="0"/>
          <w:snapToGrid/>
          <w:kern w:val="2"/>
          <w:sz w:val="24"/>
          <w:szCs w:val="24"/>
          <w:lang w:eastAsia="zh-CN"/>
        </w:rPr>
        <w:t>★2.仪器的消解单元</w:t>
      </w:r>
      <w:r>
        <w:rPr>
          <w:rFonts w:hint="eastAsia" w:ascii="宋体" w:hAnsi="宋体" w:eastAsia="宋体" w:cs="宋体"/>
          <w:b w:val="0"/>
          <w:bCs w:val="0"/>
          <w:snapToGrid/>
          <w:color w:val="000000"/>
          <w:kern w:val="2"/>
          <w:sz w:val="24"/>
          <w:szCs w:val="24"/>
          <w:lang w:eastAsia="zh-CN"/>
        </w:rPr>
        <w:t>不少于1</w:t>
      </w:r>
      <w:r>
        <w:rPr>
          <w:rFonts w:hint="eastAsia" w:ascii="宋体" w:hAnsi="宋体" w:eastAsia="宋体" w:cs="宋体"/>
          <w:b w:val="0"/>
          <w:bCs w:val="0"/>
          <w:snapToGrid/>
          <w:color w:val="000000"/>
          <w:kern w:val="2"/>
          <w:sz w:val="24"/>
          <w:szCs w:val="24"/>
          <w:lang w:val="en-US" w:eastAsia="zh-CN"/>
        </w:rPr>
        <w:t>0</w:t>
      </w:r>
      <w:r>
        <w:rPr>
          <w:rFonts w:hint="eastAsia" w:ascii="宋体" w:hAnsi="宋体" w:eastAsia="宋体" w:cs="宋体"/>
          <w:b w:val="0"/>
          <w:bCs w:val="0"/>
          <w:snapToGrid/>
          <w:color w:val="000000"/>
          <w:kern w:val="2"/>
          <w:sz w:val="24"/>
          <w:szCs w:val="24"/>
          <w:lang w:eastAsia="zh-CN"/>
        </w:rPr>
        <w:t>位微沸水浴及水浴补水系统。</w:t>
      </w:r>
    </w:p>
    <w:p w14:paraId="6DA7BED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kern w:val="2"/>
          <w:sz w:val="24"/>
          <w:szCs w:val="24"/>
          <w:lang w:eastAsia="zh-CN"/>
        </w:rPr>
      </w:pPr>
      <w:r>
        <w:rPr>
          <w:rFonts w:hint="eastAsia" w:ascii="宋体" w:hAnsi="宋体" w:eastAsia="宋体" w:cs="宋体"/>
          <w:b w:val="0"/>
          <w:bCs w:val="0"/>
          <w:snapToGrid/>
          <w:color w:val="000000"/>
          <w:kern w:val="2"/>
          <w:sz w:val="24"/>
          <w:szCs w:val="24"/>
          <w:lang w:val="en-US" w:eastAsia="zh-CN"/>
        </w:rPr>
        <w:t>2.1</w:t>
      </w:r>
      <w:r>
        <w:rPr>
          <w:rFonts w:hint="eastAsia" w:ascii="宋体" w:hAnsi="宋体" w:eastAsia="宋体" w:cs="宋体"/>
          <w:b w:val="0"/>
          <w:bCs w:val="0"/>
          <w:snapToGrid/>
          <w:kern w:val="2"/>
          <w:sz w:val="24"/>
          <w:szCs w:val="24"/>
          <w:lang w:eastAsia="zh-CN"/>
        </w:rPr>
        <w:t>采用微沸循环水浴消解，自动开合盖设计，有效防止水蒸气外逸，无需额外配置通风系统。</w:t>
      </w:r>
    </w:p>
    <w:p w14:paraId="4C795CF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kern w:val="2"/>
          <w:sz w:val="24"/>
          <w:szCs w:val="24"/>
          <w:lang w:eastAsia="zh-CN"/>
        </w:rPr>
      </w:pPr>
      <w:r>
        <w:rPr>
          <w:rFonts w:hint="eastAsia" w:ascii="宋体" w:hAnsi="宋体" w:eastAsia="宋体" w:cs="宋体"/>
          <w:b w:val="0"/>
          <w:bCs w:val="0"/>
          <w:snapToGrid/>
          <w:kern w:val="2"/>
          <w:sz w:val="24"/>
          <w:szCs w:val="24"/>
          <w:lang w:val="en-US" w:eastAsia="zh-CN"/>
        </w:rPr>
        <w:t>2.2.</w:t>
      </w:r>
      <w:r>
        <w:rPr>
          <w:rFonts w:hint="eastAsia" w:ascii="宋体" w:hAnsi="宋体" w:eastAsia="宋体" w:cs="宋体"/>
          <w:b w:val="0"/>
          <w:bCs w:val="0"/>
          <w:snapToGrid/>
          <w:kern w:val="2"/>
          <w:sz w:val="24"/>
          <w:szCs w:val="24"/>
          <w:lang w:eastAsia="zh-CN"/>
        </w:rPr>
        <w:t>具备自动给排水功能，消解过程无需人为干预，自动给排水装置维持水浴液位。</w:t>
      </w:r>
    </w:p>
    <w:p w14:paraId="188793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kern w:val="2"/>
          <w:sz w:val="24"/>
          <w:szCs w:val="24"/>
          <w:lang w:eastAsia="zh-CN"/>
        </w:rPr>
      </w:pPr>
      <w:r>
        <w:rPr>
          <w:rFonts w:hint="eastAsia" w:ascii="宋体" w:hAnsi="宋体" w:eastAsia="宋体" w:cs="宋体"/>
          <w:b w:val="0"/>
          <w:bCs w:val="0"/>
          <w:snapToGrid/>
          <w:kern w:val="2"/>
          <w:sz w:val="24"/>
          <w:szCs w:val="24"/>
          <w:lang w:val="en-US" w:eastAsia="zh-CN"/>
        </w:rPr>
        <w:t>2.3.</w:t>
      </w:r>
      <w:r>
        <w:rPr>
          <w:rFonts w:hint="eastAsia" w:ascii="宋体" w:hAnsi="宋体" w:eastAsia="宋体" w:cs="宋体"/>
          <w:b w:val="0"/>
          <w:bCs w:val="0"/>
          <w:snapToGrid/>
          <w:kern w:val="2"/>
          <w:sz w:val="24"/>
          <w:szCs w:val="24"/>
          <w:lang w:eastAsia="zh-CN"/>
        </w:rPr>
        <w:t>水浴缺液报警及保护，具有水浴防干烧功能，水浴内置液位传感器，低于指定液位，仪器不执行加热操作。</w:t>
      </w:r>
    </w:p>
    <w:p w14:paraId="44C949F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kern w:val="2"/>
          <w:sz w:val="24"/>
          <w:szCs w:val="24"/>
          <w:lang w:eastAsia="zh-CN"/>
        </w:rPr>
      </w:pPr>
      <w:r>
        <w:rPr>
          <w:rFonts w:hint="eastAsia" w:ascii="宋体" w:hAnsi="宋体" w:eastAsia="宋体" w:cs="宋体"/>
          <w:b w:val="0"/>
          <w:bCs w:val="0"/>
          <w:snapToGrid/>
          <w:kern w:val="2"/>
          <w:sz w:val="24"/>
          <w:szCs w:val="24"/>
          <w:lang w:val="en-US" w:eastAsia="zh-CN"/>
        </w:rPr>
        <w:t>2.4.</w:t>
      </w:r>
      <w:r>
        <w:rPr>
          <w:rFonts w:hint="eastAsia" w:ascii="宋体" w:hAnsi="宋体" w:eastAsia="宋体" w:cs="宋体"/>
          <w:b w:val="0"/>
          <w:bCs w:val="0"/>
          <w:snapToGrid/>
          <w:kern w:val="2"/>
          <w:sz w:val="24"/>
          <w:szCs w:val="24"/>
          <w:lang w:eastAsia="zh-CN"/>
        </w:rPr>
        <w:t>采用PID精准控温技术，温度接近设定温度时小功率加热，温度差相差较大时采用大功率加热，温度波动幅度小，可靠性较强。</w:t>
      </w:r>
    </w:p>
    <w:p w14:paraId="06B202D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kern w:val="2"/>
          <w:sz w:val="24"/>
          <w:szCs w:val="24"/>
          <w:lang w:eastAsia="zh-CN"/>
        </w:rPr>
      </w:pPr>
      <w:r>
        <w:rPr>
          <w:rFonts w:hint="eastAsia" w:ascii="宋体" w:hAnsi="宋体" w:eastAsia="宋体" w:cs="宋体"/>
          <w:b w:val="0"/>
          <w:bCs w:val="0"/>
          <w:snapToGrid/>
          <w:kern w:val="2"/>
          <w:sz w:val="24"/>
          <w:szCs w:val="24"/>
          <w:lang w:val="en-US" w:eastAsia="zh-CN"/>
        </w:rPr>
        <w:t>3.</w:t>
      </w:r>
      <w:r>
        <w:rPr>
          <w:rFonts w:hint="eastAsia" w:ascii="宋体" w:hAnsi="宋体" w:eastAsia="宋体" w:cs="宋体"/>
          <w:b w:val="0"/>
          <w:bCs w:val="0"/>
          <w:snapToGrid/>
          <w:kern w:val="2"/>
          <w:sz w:val="24"/>
          <w:szCs w:val="24"/>
          <w:lang w:eastAsia="zh-CN"/>
        </w:rPr>
        <w:t>滴定过程需完全模拟手工法滴定（慢~快~慢的滴定方式），采用RGB颜色传感技术，完美还原人眼颜色识别，仪器需适用于水质</w:t>
      </w:r>
      <w:r>
        <w:rPr>
          <w:rFonts w:hint="eastAsia" w:ascii="宋体" w:hAnsi="宋体" w:eastAsia="宋体" w:cs="宋体"/>
          <w:b w:val="0"/>
          <w:bCs w:val="0"/>
          <w:snapToGrid/>
          <w:kern w:val="2"/>
          <w:sz w:val="24"/>
          <w:szCs w:val="24"/>
          <w:lang w:val="en-US" w:eastAsia="zh-CN"/>
        </w:rPr>
        <w:t>高锰酸盐指数、</w:t>
      </w:r>
      <w:r>
        <w:rPr>
          <w:rFonts w:hint="eastAsia" w:ascii="宋体" w:hAnsi="宋体" w:eastAsia="宋体" w:cs="宋体"/>
          <w:b w:val="0"/>
          <w:bCs w:val="0"/>
          <w:snapToGrid/>
          <w:kern w:val="2"/>
          <w:sz w:val="24"/>
          <w:szCs w:val="24"/>
          <w:lang w:eastAsia="zh-CN"/>
        </w:rPr>
        <w:t>总硬度、盐碘等多种颜色滴定项目的分析。滴定过程实时记录显示传感器数据，非电压、电流及光度比色方式。</w:t>
      </w:r>
    </w:p>
    <w:p w14:paraId="5762E73F">
      <w:pPr>
        <w:pStyle w:val="13"/>
        <w:keepNext w:val="0"/>
        <w:keepLines w:val="0"/>
        <w:pageBreakBefore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宋体" w:hAnsi="宋体" w:eastAsia="宋体" w:cs="宋体"/>
          <w:b w:val="0"/>
          <w:bCs w:val="0"/>
          <w:snapToGrid/>
          <w:kern w:val="2"/>
          <w:sz w:val="24"/>
          <w:szCs w:val="24"/>
          <w:lang w:val="en-US" w:eastAsia="zh-CN" w:bidi="ar-SA"/>
        </w:rPr>
      </w:pPr>
      <w:r>
        <w:rPr>
          <w:rFonts w:hint="eastAsia" w:ascii="宋体" w:hAnsi="宋体" w:eastAsia="宋体" w:cs="宋体"/>
          <w:b w:val="0"/>
          <w:bCs w:val="0"/>
          <w:snapToGrid/>
          <w:sz w:val="24"/>
          <w:szCs w:val="24"/>
        </w:rPr>
        <w:t>★</w:t>
      </w:r>
      <w:r>
        <w:rPr>
          <w:rFonts w:hint="eastAsia" w:ascii="宋体" w:hAnsi="宋体" w:cs="宋体"/>
          <w:b w:val="0"/>
          <w:bCs w:val="0"/>
          <w:snapToGrid/>
          <w:kern w:val="2"/>
          <w:sz w:val="24"/>
          <w:szCs w:val="24"/>
          <w:lang w:val="en-US" w:eastAsia="zh-CN" w:bidi="ar-SA"/>
        </w:rPr>
        <w:t>4</w:t>
      </w:r>
      <w:r>
        <w:rPr>
          <w:rFonts w:hint="eastAsia" w:ascii="宋体" w:hAnsi="宋体" w:eastAsia="宋体" w:cs="宋体"/>
          <w:b w:val="0"/>
          <w:bCs w:val="0"/>
          <w:snapToGrid/>
          <w:kern w:val="2"/>
          <w:sz w:val="24"/>
          <w:szCs w:val="24"/>
          <w:lang w:val="en-US" w:eastAsia="zh-CN" w:bidi="ar-SA"/>
        </w:rPr>
        <w:t>.消解单元远离检测通道单元设计，防止消解单元的水浴、温度、酸等对滴定泵、检测器的精度和寿命产生影响。</w:t>
      </w:r>
      <w:r>
        <w:rPr>
          <w:rFonts w:hint="eastAsia" w:ascii="宋体" w:hAnsi="宋体" w:eastAsia="宋体" w:cs="宋体"/>
          <w:b w:val="0"/>
          <w:bCs w:val="0"/>
          <w:snapToGrid/>
          <w:sz w:val="24"/>
          <w:szCs w:val="24"/>
          <w:lang w:eastAsia="zh-CN"/>
        </w:rPr>
        <w:t>（</w:t>
      </w:r>
      <w:r>
        <w:rPr>
          <w:rFonts w:hint="eastAsia" w:ascii="宋体" w:hAnsi="宋体" w:eastAsia="宋体" w:cs="宋体"/>
          <w:b w:val="0"/>
          <w:bCs w:val="0"/>
          <w:snapToGrid/>
          <w:sz w:val="24"/>
          <w:szCs w:val="24"/>
          <w:lang w:val="en-US" w:eastAsia="zh-CN"/>
        </w:rPr>
        <w:t>提供</w:t>
      </w:r>
      <w:r>
        <w:rPr>
          <w:rFonts w:hint="eastAsia" w:ascii="宋体" w:hAnsi="宋体" w:eastAsia="宋体" w:cs="宋体"/>
          <w:b w:val="0"/>
          <w:bCs w:val="0"/>
          <w:snapToGrid/>
          <w:color w:val="000000"/>
          <w:sz w:val="24"/>
          <w:szCs w:val="24"/>
          <w:lang w:val="en-US" w:eastAsia="zh-CN"/>
        </w:rPr>
        <w:t>实机</w:t>
      </w:r>
      <w:r>
        <w:rPr>
          <w:rFonts w:hint="eastAsia" w:ascii="宋体" w:hAnsi="宋体" w:eastAsia="宋体" w:cs="宋体"/>
          <w:b w:val="0"/>
          <w:bCs w:val="0"/>
          <w:snapToGrid/>
          <w:sz w:val="24"/>
          <w:szCs w:val="24"/>
          <w:lang w:val="en-US" w:eastAsia="zh-CN"/>
        </w:rPr>
        <w:t>图片证明</w:t>
      </w:r>
      <w:r>
        <w:rPr>
          <w:rFonts w:hint="eastAsia" w:ascii="宋体" w:hAnsi="宋体" w:eastAsia="宋体" w:cs="宋体"/>
          <w:b w:val="0"/>
          <w:bCs w:val="0"/>
          <w:snapToGrid/>
          <w:sz w:val="24"/>
          <w:szCs w:val="24"/>
          <w:lang w:eastAsia="zh-CN"/>
        </w:rPr>
        <w:t>）</w:t>
      </w:r>
    </w:p>
    <w:p w14:paraId="2CF00D3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kern w:val="2"/>
          <w:sz w:val="24"/>
          <w:szCs w:val="24"/>
          <w:lang w:eastAsia="zh-CN"/>
        </w:rPr>
      </w:pPr>
      <w:r>
        <w:rPr>
          <w:rFonts w:hint="eastAsia" w:ascii="宋体" w:hAnsi="宋体" w:eastAsia="宋体" w:cs="宋体"/>
          <w:b w:val="0"/>
          <w:bCs w:val="0"/>
          <w:snapToGrid/>
          <w:color w:val="000000"/>
          <w:kern w:val="2"/>
          <w:sz w:val="24"/>
          <w:szCs w:val="24"/>
          <w:lang w:eastAsia="zh-CN"/>
        </w:rPr>
        <w:t>★</w:t>
      </w:r>
      <w:r>
        <w:rPr>
          <w:rFonts w:hint="eastAsia" w:ascii="宋体" w:hAnsi="宋体" w:eastAsia="宋体" w:cs="宋体"/>
          <w:b w:val="0"/>
          <w:bCs w:val="0"/>
          <w:snapToGrid/>
          <w:color w:val="000000"/>
          <w:kern w:val="2"/>
          <w:sz w:val="24"/>
          <w:szCs w:val="24"/>
          <w:lang w:val="en-US" w:eastAsia="zh-CN"/>
        </w:rPr>
        <w:t>5.</w:t>
      </w:r>
      <w:r>
        <w:rPr>
          <w:rFonts w:hint="eastAsia" w:ascii="宋体" w:hAnsi="宋体" w:eastAsia="宋体" w:cs="宋体"/>
          <w:b w:val="0"/>
          <w:bCs w:val="0"/>
          <w:snapToGrid/>
          <w:kern w:val="2"/>
          <w:sz w:val="24"/>
          <w:szCs w:val="24"/>
          <w:lang w:eastAsia="zh-CN"/>
        </w:rPr>
        <w:t>样品盘单元需设计为至少</w:t>
      </w:r>
      <w:r>
        <w:rPr>
          <w:rFonts w:hint="eastAsia" w:ascii="宋体" w:hAnsi="宋体" w:eastAsia="宋体" w:cs="宋体"/>
          <w:b w:val="0"/>
          <w:bCs w:val="0"/>
          <w:snapToGrid/>
          <w:kern w:val="2"/>
          <w:sz w:val="24"/>
          <w:szCs w:val="24"/>
          <w:lang w:val="en-US" w:eastAsia="zh-CN"/>
        </w:rPr>
        <w:t>2</w:t>
      </w:r>
      <w:r>
        <w:rPr>
          <w:rFonts w:hint="eastAsia" w:ascii="宋体" w:hAnsi="宋体" w:eastAsia="宋体" w:cs="宋体"/>
          <w:b w:val="0"/>
          <w:bCs w:val="0"/>
          <w:snapToGrid/>
          <w:kern w:val="2"/>
          <w:sz w:val="24"/>
          <w:szCs w:val="24"/>
          <w:lang w:eastAsia="zh-CN"/>
        </w:rPr>
        <w:t>组可独立取放的整体样品托盘结构，样品盘总数位不少于</w:t>
      </w:r>
      <w:r>
        <w:rPr>
          <w:rFonts w:hint="eastAsia" w:ascii="宋体" w:hAnsi="宋体" w:eastAsia="宋体" w:cs="宋体"/>
          <w:b w:val="0"/>
          <w:bCs w:val="0"/>
          <w:snapToGrid/>
          <w:kern w:val="2"/>
          <w:sz w:val="24"/>
          <w:szCs w:val="24"/>
          <w:lang w:val="en-US" w:eastAsia="zh-CN"/>
        </w:rPr>
        <w:t>50个</w:t>
      </w:r>
      <w:r>
        <w:rPr>
          <w:rFonts w:hint="eastAsia" w:ascii="宋体" w:hAnsi="宋体" w:eastAsia="宋体" w:cs="宋体"/>
          <w:b w:val="0"/>
          <w:bCs w:val="0"/>
          <w:snapToGrid/>
          <w:kern w:val="2"/>
          <w:sz w:val="24"/>
          <w:szCs w:val="24"/>
          <w:lang w:eastAsia="zh-CN"/>
        </w:rPr>
        <w:t>；且每个样品盘均可循环交替使用，原则上可无限连续循环检测水样。</w:t>
      </w:r>
      <w:r>
        <w:rPr>
          <w:rFonts w:hint="eastAsia" w:ascii="宋体" w:hAnsi="宋体" w:eastAsia="宋体" w:cs="宋体"/>
          <w:b w:val="0"/>
          <w:bCs w:val="0"/>
          <w:snapToGrid/>
          <w:color w:val="000000"/>
          <w:kern w:val="2"/>
          <w:sz w:val="24"/>
          <w:szCs w:val="24"/>
          <w:lang w:eastAsia="zh-CN"/>
        </w:rPr>
        <w:t>（提供样品盘</w:t>
      </w:r>
      <w:r>
        <w:rPr>
          <w:rFonts w:hint="eastAsia" w:ascii="宋体" w:hAnsi="宋体" w:eastAsia="宋体" w:cs="宋体"/>
          <w:b w:val="0"/>
          <w:bCs w:val="0"/>
          <w:snapToGrid/>
          <w:color w:val="000000"/>
          <w:kern w:val="2"/>
          <w:sz w:val="24"/>
          <w:szCs w:val="24"/>
          <w:lang w:val="en-US" w:eastAsia="zh-CN"/>
        </w:rPr>
        <w:t>结构及整体</w:t>
      </w:r>
      <w:r>
        <w:rPr>
          <w:rFonts w:hint="eastAsia" w:ascii="宋体" w:hAnsi="宋体" w:eastAsia="宋体" w:cs="宋体"/>
          <w:b w:val="0"/>
          <w:bCs w:val="0"/>
          <w:snapToGrid/>
          <w:color w:val="000000"/>
          <w:kern w:val="2"/>
          <w:sz w:val="24"/>
          <w:szCs w:val="24"/>
          <w:lang w:eastAsia="zh-CN"/>
        </w:rPr>
        <w:t>位</w:t>
      </w:r>
      <w:r>
        <w:rPr>
          <w:rFonts w:hint="eastAsia" w:ascii="宋体" w:hAnsi="宋体" w:eastAsia="宋体" w:cs="宋体"/>
          <w:b w:val="0"/>
          <w:bCs w:val="0"/>
          <w:snapToGrid/>
          <w:color w:val="000000"/>
          <w:kern w:val="2"/>
          <w:sz w:val="24"/>
          <w:szCs w:val="24"/>
          <w:lang w:val="en-US" w:eastAsia="zh-CN"/>
        </w:rPr>
        <w:t>数</w:t>
      </w:r>
      <w:r>
        <w:rPr>
          <w:rFonts w:hint="eastAsia" w:ascii="宋体" w:hAnsi="宋体" w:eastAsia="宋体" w:cs="宋体"/>
          <w:b w:val="0"/>
          <w:bCs w:val="0"/>
          <w:snapToGrid/>
          <w:color w:val="000000"/>
          <w:kern w:val="2"/>
          <w:sz w:val="24"/>
          <w:szCs w:val="24"/>
          <w:lang w:eastAsia="zh-CN"/>
        </w:rPr>
        <w:t>照片）</w:t>
      </w:r>
    </w:p>
    <w:p w14:paraId="140A51A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6</w:t>
      </w:r>
      <w:r>
        <w:rPr>
          <w:rFonts w:hint="eastAsia" w:ascii="宋体" w:hAnsi="宋体" w:eastAsia="宋体" w:cs="宋体"/>
          <w:b w:val="0"/>
          <w:bCs w:val="0"/>
          <w:snapToGrid/>
          <w:kern w:val="2"/>
          <w:sz w:val="24"/>
          <w:szCs w:val="24"/>
          <w:lang w:eastAsia="zh-CN"/>
        </w:rPr>
        <w:t>.仪器工作过程无需人工干预，自动完成试剂添加、水浴加热、颜色滴定、自动分析并计算结果。</w:t>
      </w:r>
    </w:p>
    <w:p w14:paraId="2C1FF4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kern w:val="2"/>
          <w:sz w:val="24"/>
          <w:szCs w:val="24"/>
          <w:lang w:eastAsia="zh-CN"/>
        </w:rPr>
      </w:pPr>
      <w:r>
        <w:rPr>
          <w:rFonts w:hint="eastAsia" w:ascii="宋体" w:hAnsi="宋体" w:eastAsia="宋体" w:cs="宋体"/>
          <w:b w:val="0"/>
          <w:bCs w:val="0"/>
          <w:snapToGrid/>
          <w:kern w:val="2"/>
          <w:sz w:val="24"/>
          <w:szCs w:val="24"/>
          <w:lang w:val="en-US" w:eastAsia="zh-CN"/>
        </w:rPr>
        <w:t>7</w:t>
      </w:r>
      <w:r>
        <w:rPr>
          <w:rFonts w:hint="eastAsia" w:ascii="宋体" w:hAnsi="宋体" w:eastAsia="宋体" w:cs="宋体"/>
          <w:b w:val="0"/>
          <w:bCs w:val="0"/>
          <w:snapToGrid/>
          <w:kern w:val="2"/>
          <w:sz w:val="24"/>
          <w:szCs w:val="24"/>
          <w:lang w:eastAsia="zh-CN"/>
        </w:rPr>
        <w:t>.工作站自动控制系统对全部工作站功能操作进行控制，软件运行于Windows操作系统，工作界面友好。软件按照功能提供优化操作条件，用户通过选择可实现自动完成全部样品预处理及检测过程。</w:t>
      </w:r>
    </w:p>
    <w:p w14:paraId="511F8C0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8.</w:t>
      </w:r>
      <w:r>
        <w:rPr>
          <w:rFonts w:hint="eastAsia" w:ascii="宋体" w:hAnsi="宋体" w:eastAsia="宋体" w:cs="宋体"/>
          <w:b w:val="0"/>
          <w:bCs w:val="0"/>
          <w:snapToGrid/>
          <w:kern w:val="2"/>
          <w:sz w:val="24"/>
          <w:szCs w:val="24"/>
          <w:lang w:eastAsia="zh-CN"/>
        </w:rPr>
        <w:t>工作站支持不停机状态循环添加样品，可根据用户需求定制分析报告，测试数据支持Excel格式导出。</w:t>
      </w:r>
    </w:p>
    <w:p w14:paraId="3D58BBF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napToGrid/>
          <w:kern w:val="2"/>
          <w:sz w:val="24"/>
          <w:szCs w:val="24"/>
          <w:lang w:val="en-US" w:eastAsia="zh-CN"/>
        </w:rPr>
      </w:pPr>
      <w:r>
        <w:rPr>
          <w:rFonts w:hint="eastAsia" w:ascii="宋体" w:hAnsi="宋体" w:eastAsia="宋体" w:cs="宋体"/>
          <w:b/>
          <w:bCs/>
          <w:snapToGrid/>
          <w:kern w:val="2"/>
          <w:sz w:val="24"/>
          <w:szCs w:val="24"/>
          <w:lang w:val="en-US" w:eastAsia="zh-CN"/>
        </w:rPr>
        <w:t>四、仪器技术指标</w:t>
      </w:r>
    </w:p>
    <w:p w14:paraId="005794D9">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val="en-US" w:eastAsia="zh-CN"/>
        </w:rPr>
        <w:t>1.</w:t>
      </w:r>
      <w:r>
        <w:rPr>
          <w:rFonts w:hint="eastAsia" w:ascii="宋体" w:hAnsi="宋体" w:eastAsia="宋体" w:cs="宋体"/>
          <w:b/>
          <w:bCs/>
          <w:snapToGrid/>
          <w:kern w:val="2"/>
          <w:sz w:val="24"/>
          <w:szCs w:val="24"/>
          <w:lang w:eastAsia="zh-CN"/>
        </w:rPr>
        <w:t>高锰酸盐指数方法</w:t>
      </w:r>
    </w:p>
    <w:p w14:paraId="183125B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方法原理：酸性及碱性高锰酸钾滴定法</w:t>
      </w:r>
    </w:p>
    <w:p w14:paraId="179D655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线性范围：0.05-5.0mg/L</w:t>
      </w:r>
    </w:p>
    <w:p w14:paraId="62EC6E4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样品分析频率：平均3</w:t>
      </w:r>
      <w:r>
        <w:rPr>
          <w:rFonts w:hint="eastAsia" w:ascii="宋体" w:hAnsi="宋体" w:eastAsia="宋体" w:cs="宋体"/>
          <w:snapToGrid/>
          <w:kern w:val="2"/>
          <w:sz w:val="24"/>
          <w:szCs w:val="24"/>
          <w:lang w:val="en-US" w:eastAsia="zh-CN"/>
        </w:rPr>
        <w:t>-</w:t>
      </w:r>
      <w:r>
        <w:rPr>
          <w:rFonts w:hint="eastAsia" w:ascii="宋体" w:hAnsi="宋体" w:eastAsia="宋体" w:cs="宋体"/>
          <w:snapToGrid/>
          <w:kern w:val="2"/>
          <w:sz w:val="24"/>
          <w:szCs w:val="24"/>
          <w:lang w:eastAsia="zh-CN"/>
        </w:rPr>
        <w:t>4min/样</w:t>
      </w:r>
    </w:p>
    <w:p w14:paraId="7325AC4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精密度：≤3%（3mg/L葡萄糖质控）</w:t>
      </w:r>
    </w:p>
    <w:p w14:paraId="5A7FD2A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准确度：在质控样品规定的范围内</w:t>
      </w:r>
    </w:p>
    <w:p w14:paraId="77CC9A5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val="en-US" w:eastAsia="zh-CN"/>
        </w:rPr>
        <w:t>2.</w:t>
      </w:r>
      <w:r>
        <w:rPr>
          <w:rFonts w:hint="eastAsia" w:ascii="宋体" w:hAnsi="宋体" w:eastAsia="宋体" w:cs="宋体"/>
          <w:b/>
          <w:bCs/>
          <w:snapToGrid/>
          <w:kern w:val="2"/>
          <w:sz w:val="24"/>
          <w:szCs w:val="24"/>
          <w:lang w:eastAsia="zh-CN"/>
        </w:rPr>
        <w:t>总硬度方法</w:t>
      </w:r>
    </w:p>
    <w:p w14:paraId="22348C9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方法原理：乙二胺四乙酸二钠滴定法</w:t>
      </w:r>
    </w:p>
    <w:p w14:paraId="35A42E5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最低检测浓度：1mg/L</w:t>
      </w:r>
    </w:p>
    <w:p w14:paraId="6AAA12E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精密度（RSD）：≤1%（200 mg/L标样）</w:t>
      </w:r>
    </w:p>
    <w:p w14:paraId="07A8BE0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准确度：在质控样品规定的范围内</w:t>
      </w:r>
    </w:p>
    <w:p w14:paraId="0B77DB9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样品检测频率：约20样/小时</w:t>
      </w:r>
    </w:p>
    <w:p w14:paraId="24CB544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val="en-US" w:eastAsia="zh-CN"/>
        </w:rPr>
        <w:t>3.</w:t>
      </w:r>
      <w:r>
        <w:rPr>
          <w:rFonts w:hint="eastAsia" w:ascii="宋体" w:hAnsi="宋体" w:eastAsia="宋体" w:cs="宋体"/>
          <w:b/>
          <w:bCs/>
          <w:snapToGrid/>
          <w:kern w:val="2"/>
          <w:sz w:val="24"/>
          <w:szCs w:val="24"/>
          <w:lang w:eastAsia="zh-CN"/>
        </w:rPr>
        <w:t>盐碘方法</w:t>
      </w:r>
    </w:p>
    <w:p w14:paraId="7CA9CB9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3.1</w:t>
      </w:r>
      <w:r>
        <w:rPr>
          <w:rFonts w:hint="eastAsia" w:ascii="宋体" w:hAnsi="宋体" w:eastAsia="宋体" w:cs="宋体"/>
          <w:b w:val="0"/>
          <w:bCs w:val="0"/>
          <w:snapToGrid/>
          <w:kern w:val="2"/>
          <w:sz w:val="24"/>
          <w:szCs w:val="24"/>
          <w:lang w:eastAsia="zh-CN"/>
        </w:rPr>
        <w:t>方法原理：直接滴定法、</w:t>
      </w:r>
      <w:r>
        <w:rPr>
          <w:rFonts w:hint="eastAsia" w:ascii="宋体" w:hAnsi="宋体" w:eastAsia="宋体" w:cs="宋体"/>
          <w:b w:val="0"/>
          <w:bCs w:val="0"/>
          <w:snapToGrid/>
          <w:kern w:val="2"/>
          <w:sz w:val="24"/>
          <w:szCs w:val="24"/>
          <w:lang w:val="en-US" w:eastAsia="zh-CN"/>
        </w:rPr>
        <w:t>氧化还原滴定法</w:t>
      </w:r>
    </w:p>
    <w:p w14:paraId="56F77FF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最低检测浓度：0.5mg/kg</w:t>
      </w:r>
    </w:p>
    <w:p w14:paraId="09A2B4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精密度（RSD）：≤1.5%</w:t>
      </w:r>
    </w:p>
    <w:p w14:paraId="44A7ED1F">
      <w:pPr>
        <w:keepNext w:val="0"/>
        <w:keepLines w:val="0"/>
        <w:pageBreakBefore w:val="0"/>
        <w:widowControl/>
        <w:tabs>
          <w:tab w:val="center" w:pos="4153"/>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准确度：误差在±2mg/kg以内</w:t>
      </w:r>
      <w:r>
        <w:rPr>
          <w:rFonts w:hint="eastAsia" w:ascii="宋体" w:hAnsi="宋体" w:eastAsia="宋体" w:cs="宋体"/>
          <w:snapToGrid/>
          <w:kern w:val="2"/>
          <w:sz w:val="24"/>
          <w:szCs w:val="24"/>
          <w:lang w:eastAsia="zh-CN"/>
        </w:rPr>
        <w:tab/>
      </w:r>
    </w:p>
    <w:p w14:paraId="23C5F4F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样品检测频率：3 min/样</w:t>
      </w:r>
    </w:p>
    <w:p w14:paraId="400207D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napToGrid/>
          <w:kern w:val="2"/>
          <w:sz w:val="24"/>
          <w:szCs w:val="24"/>
          <w:lang w:val="en-US" w:eastAsia="zh-CN"/>
        </w:rPr>
      </w:pPr>
      <w:r>
        <w:rPr>
          <w:rFonts w:hint="eastAsia" w:ascii="宋体" w:hAnsi="宋体" w:eastAsia="宋体" w:cs="宋体"/>
          <w:b/>
          <w:bCs/>
          <w:snapToGrid/>
          <w:kern w:val="2"/>
          <w:sz w:val="24"/>
          <w:szCs w:val="24"/>
          <w:lang w:val="en-US" w:eastAsia="zh-CN"/>
        </w:rPr>
        <w:t>五、仪器配置要求</w:t>
      </w:r>
    </w:p>
    <w:p w14:paraId="251159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 xml:space="preserve">1.全自动多参数滴定分析仪主机 </w:t>
      </w:r>
      <w:r>
        <w:rPr>
          <w:rFonts w:hint="eastAsia" w:ascii="宋体" w:hAnsi="宋体" w:eastAsia="宋体" w:cs="宋体"/>
          <w:snapToGrid/>
          <w:kern w:val="2"/>
          <w:sz w:val="24"/>
          <w:szCs w:val="24"/>
          <w:lang w:eastAsia="zh-CN"/>
        </w:rPr>
        <w:t>1台</w:t>
      </w:r>
    </w:p>
    <w:p w14:paraId="0A2E53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2.10位微沸水浴消解单元（含自动补水）</w:t>
      </w:r>
      <w:r>
        <w:rPr>
          <w:rFonts w:hint="eastAsia" w:ascii="宋体" w:hAnsi="宋体" w:eastAsia="宋体" w:cs="宋体"/>
          <w:snapToGrid/>
          <w:kern w:val="2"/>
          <w:sz w:val="24"/>
          <w:szCs w:val="24"/>
          <w:lang w:val="en-US" w:eastAsia="zh-CN"/>
        </w:rPr>
        <w:t xml:space="preserve">  </w:t>
      </w:r>
      <w:r>
        <w:rPr>
          <w:rFonts w:hint="eastAsia" w:ascii="宋体" w:hAnsi="宋体" w:eastAsia="宋体" w:cs="宋体"/>
          <w:snapToGrid/>
          <w:kern w:val="2"/>
          <w:sz w:val="24"/>
          <w:szCs w:val="24"/>
          <w:lang w:eastAsia="zh-CN"/>
        </w:rPr>
        <w:t>1套</w:t>
      </w:r>
    </w:p>
    <w:p w14:paraId="24011E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3</w:t>
      </w:r>
      <w:r>
        <w:rPr>
          <w:rFonts w:hint="eastAsia" w:ascii="宋体" w:hAnsi="宋体" w:eastAsia="宋体" w:cs="宋体"/>
          <w:snapToGrid/>
          <w:kern w:val="2"/>
          <w:sz w:val="24"/>
          <w:szCs w:val="24"/>
          <w:lang w:eastAsia="zh-CN"/>
        </w:rPr>
        <w:t>.专用工具包</w:t>
      </w:r>
      <w:r>
        <w:rPr>
          <w:rFonts w:hint="eastAsia" w:ascii="宋体" w:hAnsi="宋体" w:eastAsia="宋体" w:cs="宋体"/>
          <w:snapToGrid/>
          <w:kern w:val="2"/>
          <w:sz w:val="24"/>
          <w:szCs w:val="24"/>
          <w:lang w:val="en-US" w:eastAsia="zh-CN"/>
        </w:rPr>
        <w:t xml:space="preserve">  </w:t>
      </w:r>
      <w:r>
        <w:rPr>
          <w:rFonts w:hint="eastAsia" w:ascii="宋体" w:hAnsi="宋体" w:eastAsia="宋体" w:cs="宋体"/>
          <w:snapToGrid/>
          <w:kern w:val="2"/>
          <w:sz w:val="24"/>
          <w:szCs w:val="24"/>
          <w:lang w:eastAsia="zh-CN"/>
        </w:rPr>
        <w:t>1套</w:t>
      </w:r>
    </w:p>
    <w:p w14:paraId="4E838D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4</w:t>
      </w:r>
      <w:r>
        <w:rPr>
          <w:rFonts w:hint="eastAsia" w:ascii="宋体" w:hAnsi="宋体" w:eastAsia="宋体" w:cs="宋体"/>
          <w:snapToGrid/>
          <w:kern w:val="2"/>
          <w:sz w:val="24"/>
          <w:szCs w:val="24"/>
          <w:lang w:eastAsia="zh-CN"/>
        </w:rPr>
        <w:t>.样品杯≥100个</w:t>
      </w:r>
    </w:p>
    <w:p w14:paraId="63DC88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5</w:t>
      </w:r>
      <w:r>
        <w:rPr>
          <w:rFonts w:hint="eastAsia" w:ascii="宋体" w:hAnsi="宋体" w:eastAsia="宋体" w:cs="宋体"/>
          <w:snapToGrid/>
          <w:kern w:val="2"/>
          <w:sz w:val="24"/>
          <w:szCs w:val="24"/>
          <w:lang w:eastAsia="zh-CN"/>
        </w:rPr>
        <w:t xml:space="preserve">.说明书、合格证、保修卡、软件安装光盘 </w:t>
      </w:r>
      <w:r>
        <w:rPr>
          <w:rFonts w:hint="eastAsia" w:ascii="宋体" w:hAnsi="宋体" w:eastAsia="宋体" w:cs="宋体"/>
          <w:snapToGrid/>
          <w:kern w:val="2"/>
          <w:sz w:val="24"/>
          <w:szCs w:val="24"/>
          <w:lang w:val="en-US" w:eastAsia="zh-CN"/>
        </w:rPr>
        <w:t xml:space="preserve"> </w:t>
      </w:r>
      <w:r>
        <w:rPr>
          <w:rFonts w:hint="eastAsia" w:ascii="宋体" w:hAnsi="宋体" w:eastAsia="宋体" w:cs="宋体"/>
          <w:snapToGrid/>
          <w:kern w:val="2"/>
          <w:sz w:val="24"/>
          <w:szCs w:val="24"/>
          <w:lang w:eastAsia="zh-CN"/>
        </w:rPr>
        <w:t>1套</w:t>
      </w:r>
    </w:p>
    <w:p w14:paraId="32ECAFA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napToGrid/>
          <w:kern w:val="2"/>
          <w:sz w:val="24"/>
          <w:szCs w:val="24"/>
          <w:lang w:val="en-US" w:eastAsia="zh-CN"/>
        </w:rPr>
      </w:pPr>
      <w:r>
        <w:rPr>
          <w:rFonts w:hint="eastAsia" w:ascii="宋体" w:hAnsi="宋体" w:eastAsia="宋体" w:cs="宋体"/>
          <w:b/>
          <w:bCs/>
          <w:snapToGrid/>
          <w:kern w:val="2"/>
          <w:sz w:val="24"/>
          <w:szCs w:val="24"/>
          <w:lang w:val="en-US" w:eastAsia="zh-CN"/>
        </w:rPr>
        <w:t>六、售后服务要求</w:t>
      </w:r>
    </w:p>
    <w:p w14:paraId="662B08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1.整机免费保修</w:t>
      </w:r>
      <w:r>
        <w:rPr>
          <w:rFonts w:hint="eastAsia" w:ascii="宋体" w:hAnsi="宋体" w:eastAsia="宋体" w:cs="宋体"/>
          <w:snapToGrid/>
          <w:kern w:val="2"/>
          <w:sz w:val="24"/>
          <w:szCs w:val="24"/>
          <w:lang w:val="en-US" w:eastAsia="zh-CN"/>
        </w:rPr>
        <w:t>至少</w:t>
      </w:r>
      <w:r>
        <w:rPr>
          <w:rFonts w:hint="eastAsia" w:ascii="宋体" w:hAnsi="宋体" w:eastAsia="宋体" w:cs="宋体"/>
          <w:snapToGrid/>
          <w:kern w:val="2"/>
          <w:sz w:val="24"/>
          <w:szCs w:val="24"/>
          <w:lang w:eastAsia="zh-CN"/>
        </w:rPr>
        <w:t>2年（含所有部件，人为损坏除外）。</w:t>
      </w:r>
    </w:p>
    <w:p w14:paraId="659DB0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2.质保期内提供免费上门维护、校准、更换配件。</w:t>
      </w:r>
    </w:p>
    <w:p w14:paraId="5BA732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3.实验室参加上级质控考核、能力验证时，厂家工程师免费上门协助完成仪器调试、方法验证、检测支持，确保考核通过。</w:t>
      </w:r>
    </w:p>
    <w:p w14:paraId="328D376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napToGrid/>
          <w:kern w:val="2"/>
          <w:sz w:val="24"/>
          <w:szCs w:val="24"/>
          <w:lang w:eastAsia="zh-CN"/>
        </w:rPr>
        <w:t>4.故障响应：2小时内响应，48小时内到场解决。</w:t>
      </w:r>
    </w:p>
    <w:p w14:paraId="25FBE49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b/>
          <w:bCs/>
          <w:snapToGrid/>
          <w:kern w:val="2"/>
          <w:sz w:val="28"/>
          <w:szCs w:val="28"/>
          <w:lang w:val="en-US" w:eastAsia="zh-CN"/>
        </w:rPr>
      </w:pPr>
      <w:bookmarkStart w:id="92" w:name="_Toc25444"/>
      <w:bookmarkStart w:id="93" w:name="_Toc17612"/>
      <w:r>
        <w:rPr>
          <w:rFonts w:hint="eastAsia" w:ascii="宋体" w:hAnsi="宋体" w:eastAsia="宋体" w:cs="宋体"/>
          <w:b/>
          <w:bCs/>
          <w:snapToGrid/>
          <w:kern w:val="2"/>
          <w:sz w:val="28"/>
          <w:szCs w:val="28"/>
          <w:lang w:val="en-US" w:eastAsia="zh-CN"/>
        </w:rPr>
        <w:t>2.蒸发恒重分析仪</w:t>
      </w:r>
      <w:bookmarkEnd w:id="92"/>
      <w:bookmarkEnd w:id="93"/>
    </w:p>
    <w:p w14:paraId="34B4BA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一、总体要求</w:t>
      </w:r>
    </w:p>
    <w:p w14:paraId="1DA8F9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设备为蒸发恒重分析仪，适用于疾控中心水质检测，严格按照国标方法开展水中溶解性总固体检测，集成恒温恒湿、烘干蒸发、自动称量、数据运算、报告输出一体化；设备运行稳定、操作简便，满足实验室日常大批量检测及质控考核要求。可依据 GB/T 5750.4《生活饮用水标准检验方法 感官性状和物理指标》第 11 部分完成水中溶解性总固体项目检测；具备滤膜自动称量功能。</w:t>
      </w:r>
    </w:p>
    <w:p w14:paraId="7C2399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二、</w:t>
      </w:r>
      <w:r>
        <w:rPr>
          <w:rFonts w:hint="eastAsia" w:ascii="宋体" w:hAnsi="宋体" w:eastAsia="宋体" w:cs="宋体"/>
          <w:snapToGrid/>
          <w:kern w:val="2"/>
          <w:sz w:val="24"/>
          <w:szCs w:val="24"/>
          <w:lang w:eastAsia="zh-CN"/>
        </w:rPr>
        <w:t>设备用途</w:t>
      </w:r>
    </w:p>
    <w:p w14:paraId="66E6A5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snapToGrid/>
          <w:kern w:val="2"/>
          <w:sz w:val="24"/>
          <w:szCs w:val="24"/>
          <w:lang w:val="en-US" w:eastAsia="zh-CN"/>
        </w:rPr>
      </w:pPr>
      <w:r>
        <w:rPr>
          <w:rFonts w:hint="eastAsia" w:ascii="宋体" w:hAnsi="宋体" w:eastAsia="宋体" w:cs="宋体"/>
          <w:snapToGrid/>
          <w:kern w:val="2"/>
          <w:sz w:val="24"/>
          <w:szCs w:val="24"/>
          <w:lang w:val="en-US" w:eastAsia="zh-CN"/>
        </w:rPr>
        <w:t>适用于各类水质、空气等样品项目中溶解性总固体、悬浮物、全盐量、含水率、水分、食品脂肪、矿化度、空气降尘、职业卫生游离二氧化硅、总粉尘浓度、呼吸性粉尘浓度等的样品或容器自动蒸发恒温恒湿恒重称量工作。</w:t>
      </w:r>
    </w:p>
    <w:p w14:paraId="1F81E7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三、技术指标</w:t>
      </w:r>
    </w:p>
    <w:p w14:paraId="029C78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1.样品盘：层数不低于5层</w:t>
      </w:r>
    </w:p>
    <w:p w14:paraId="4E1291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 xml:space="preserve">2.兼容载具规格数量≧90mm直径载具不少于50个，≦47mm直径载具不少于100个 </w:t>
      </w:r>
    </w:p>
    <w:p w14:paraId="049F9B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3.温湿度控制：PID自动控温控湿，温度设定范围：0-200℃，精度±0.1℃（任意设定），恒温恒湿温度范围：0-60℃，精度±0.1℃（任意设定），湿度控制范围：下限值20%RH，上限值80%RH，精度1%RH（任意设定）</w:t>
      </w:r>
    </w:p>
    <w:p w14:paraId="1F5CFC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napToGrid/>
          <w:kern w:val="2"/>
          <w:sz w:val="24"/>
          <w:szCs w:val="24"/>
          <w:lang w:val="en-US" w:eastAsia="zh-CN"/>
        </w:rPr>
      </w:pPr>
      <w:r>
        <w:rPr>
          <w:rFonts w:hint="eastAsia" w:ascii="宋体" w:hAnsi="宋体" w:eastAsia="宋体" w:cs="宋体"/>
          <w:b w:val="0"/>
          <w:bCs w:val="0"/>
          <w:snapToGrid/>
          <w:kern w:val="2"/>
          <w:sz w:val="24"/>
          <w:szCs w:val="24"/>
          <w:lang w:val="en-US" w:eastAsia="zh-CN"/>
        </w:rPr>
        <w:t>4.天平：十万分之一天平，量程：0-220g，自动校准，支持内校和外校</w:t>
      </w:r>
    </w:p>
    <w:p w14:paraId="2BD827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四、技术特点</w:t>
      </w:r>
    </w:p>
    <w:p w14:paraId="65EFD4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color="auto" w:fill="FFFFFF"/>
          <w:lang w:val="en-US" w:eastAsia="zh-CN" w:bidi="ar"/>
        </w:rPr>
      </w:pPr>
      <w:r>
        <w:rPr>
          <w:rFonts w:hint="eastAsia" w:ascii="宋体" w:hAnsi="宋体" w:eastAsia="宋体" w:cs="宋体"/>
          <w:i w:val="0"/>
          <w:iCs w:val="0"/>
          <w:caps w:val="0"/>
          <w:snapToGrid/>
          <w:color w:val="333333"/>
          <w:spacing w:val="0"/>
          <w:kern w:val="0"/>
          <w:sz w:val="24"/>
          <w:szCs w:val="24"/>
          <w:shd w:val="clear" w:color="auto" w:fill="FFFFFF"/>
          <w:lang w:val="en-US" w:eastAsia="zh-CN" w:bidi="ar"/>
        </w:rPr>
        <w:t>1.</w:t>
      </w:r>
      <w:r>
        <w:rPr>
          <w:rFonts w:hint="eastAsia" w:ascii="宋体" w:hAnsi="宋体" w:eastAsia="宋体" w:cs="宋体"/>
          <w:b w:val="0"/>
          <w:bCs w:val="0"/>
          <w:i w:val="0"/>
          <w:iCs w:val="0"/>
          <w:caps w:val="0"/>
          <w:snapToGrid/>
          <w:color w:val="333333"/>
          <w:spacing w:val="0"/>
          <w:kern w:val="0"/>
          <w:sz w:val="24"/>
          <w:szCs w:val="24"/>
          <w:shd w:val="clear" w:color="auto" w:fill="FFFFFF"/>
          <w:lang w:val="en-US" w:eastAsia="zh-CN" w:bidi="ar"/>
        </w:rPr>
        <w:t>要求恒温恒湿箱体具备高温烘干模式，高温时温度控制范围为室温0-200℃，恒温恒湿温度范围为室温0-60℃，湿度控制范围为20%-80%，采用PID高精度自动控温控湿；</w:t>
      </w:r>
    </w:p>
    <w:p w14:paraId="02E33E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color="auto" w:fill="FFFFFF"/>
          <w:lang w:val="en-US" w:eastAsia="zh-CN" w:bidi="ar"/>
        </w:rPr>
      </w:pPr>
      <w:r>
        <w:rPr>
          <w:rFonts w:hint="eastAsia" w:ascii="宋体" w:hAnsi="宋体" w:eastAsia="宋体" w:cs="宋体"/>
          <w:i w:val="0"/>
          <w:iCs w:val="0"/>
          <w:caps w:val="0"/>
          <w:snapToGrid/>
          <w:color w:val="333333"/>
          <w:spacing w:val="0"/>
          <w:kern w:val="0"/>
          <w:sz w:val="24"/>
          <w:szCs w:val="24"/>
          <w:shd w:val="clear" w:color="auto" w:fill="FFFFFF"/>
          <w:lang w:val="en-US" w:eastAsia="zh-CN" w:bidi="ar"/>
        </w:rPr>
        <w:t>2.</w:t>
      </w:r>
      <w:r>
        <w:rPr>
          <w:rFonts w:hint="eastAsia" w:ascii="宋体" w:hAnsi="宋体" w:eastAsia="宋体" w:cs="宋体"/>
          <w:b w:val="0"/>
          <w:bCs w:val="0"/>
          <w:i w:val="0"/>
          <w:iCs w:val="0"/>
          <w:caps w:val="0"/>
          <w:snapToGrid/>
          <w:color w:val="333333"/>
          <w:spacing w:val="0"/>
          <w:kern w:val="0"/>
          <w:sz w:val="24"/>
          <w:szCs w:val="24"/>
          <w:shd w:val="clear" w:color="auto" w:fill="FFFFFF"/>
          <w:lang w:val="en-US" w:eastAsia="zh-CN" w:bidi="ar"/>
        </w:rPr>
        <w:t>仪器要求选用进口十万分之一天平，支持内校和外校，自动天平</w:t>
      </w:r>
      <w:r>
        <w:rPr>
          <w:rFonts w:hint="eastAsia" w:ascii="宋体" w:hAnsi="宋体" w:eastAsia="宋体" w:cs="宋体"/>
          <w:i w:val="0"/>
          <w:iCs w:val="0"/>
          <w:caps w:val="0"/>
          <w:snapToGrid/>
          <w:color w:val="333333"/>
          <w:spacing w:val="0"/>
          <w:kern w:val="0"/>
          <w:sz w:val="24"/>
          <w:szCs w:val="24"/>
          <w:shd w:val="clear" w:color="auto" w:fill="FFFFFF"/>
          <w:lang w:val="en-US" w:eastAsia="zh-CN" w:bidi="ar"/>
        </w:rPr>
        <w:t>电防风罩，</w:t>
      </w:r>
      <w:r>
        <w:rPr>
          <w:rFonts w:hint="eastAsia" w:ascii="宋体" w:hAnsi="宋体" w:eastAsia="宋体" w:cs="宋体"/>
          <w:b w:val="0"/>
          <w:bCs w:val="0"/>
          <w:i w:val="0"/>
          <w:iCs w:val="0"/>
          <w:caps w:val="0"/>
          <w:snapToGrid/>
          <w:color w:val="333333"/>
          <w:spacing w:val="0"/>
          <w:kern w:val="0"/>
          <w:sz w:val="24"/>
          <w:szCs w:val="24"/>
          <w:shd w:val="clear" w:color="auto" w:fill="FFFFFF"/>
          <w:lang w:val="en-US" w:eastAsia="zh-CN" w:bidi="ar"/>
        </w:rPr>
        <w:t>设备自动校准，自动去皮，自动称量，数据实时处理显示</w:t>
      </w:r>
    </w:p>
    <w:p w14:paraId="19A05B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color="auto" w:fill="FFFFFF"/>
          <w:lang w:val="en-US" w:eastAsia="zh-CN" w:bidi="ar"/>
        </w:rPr>
      </w:pPr>
      <w:r>
        <w:rPr>
          <w:rFonts w:hint="eastAsia" w:ascii="宋体" w:hAnsi="宋体" w:eastAsia="宋体" w:cs="宋体"/>
          <w:i w:val="0"/>
          <w:iCs w:val="0"/>
          <w:caps w:val="0"/>
          <w:snapToGrid/>
          <w:color w:val="333333"/>
          <w:spacing w:val="0"/>
          <w:kern w:val="0"/>
          <w:sz w:val="24"/>
          <w:szCs w:val="24"/>
          <w:shd w:val="clear" w:color="auto" w:fill="FFFFFF"/>
          <w:lang w:val="en-US" w:eastAsia="zh-CN" w:bidi="ar"/>
        </w:rPr>
        <w:t>★3.要求样品盘层数不少5层，立体式样品盘，样品盘需同时兼容不同规格的样品载具，无需更换样品盘，样品盘采用优质铝合金表面处理工艺，耐划耐高温。（提供加盖制造商公章复印件的载具实物图证明材料）</w:t>
      </w:r>
    </w:p>
    <w:p w14:paraId="7E7F6A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color="auto" w:fill="FFFFFF"/>
          <w:lang w:val="en-US" w:eastAsia="zh-CN" w:bidi="ar"/>
        </w:rPr>
      </w:pPr>
      <w:r>
        <w:rPr>
          <w:rFonts w:hint="eastAsia" w:ascii="宋体" w:hAnsi="宋体" w:eastAsia="宋体" w:cs="宋体"/>
          <w:i w:val="0"/>
          <w:iCs w:val="0"/>
          <w:caps w:val="0"/>
          <w:snapToGrid/>
          <w:color w:val="333333"/>
          <w:spacing w:val="0"/>
          <w:kern w:val="0"/>
          <w:sz w:val="24"/>
          <w:szCs w:val="24"/>
          <w:shd w:val="clear" w:color="auto" w:fill="FFFFFF"/>
          <w:lang w:val="en-US" w:eastAsia="zh-CN" w:bidi="ar"/>
        </w:rPr>
        <w:t>4.要求天平底座不与腔体直接接触，独立底盘，可移动调接位置和水平，减少震动，提高称量的稳定型，避免震动带来的干扰；</w:t>
      </w:r>
    </w:p>
    <w:p w14:paraId="0FE374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color="auto" w:fill="FFFFFF"/>
          <w:lang w:val="en-US" w:eastAsia="zh-CN" w:bidi="ar"/>
        </w:rPr>
      </w:pPr>
      <w:r>
        <w:rPr>
          <w:rFonts w:hint="eastAsia" w:ascii="宋体" w:hAnsi="宋体" w:eastAsia="宋体" w:cs="宋体"/>
          <w:i w:val="0"/>
          <w:iCs w:val="0"/>
          <w:caps w:val="0"/>
          <w:snapToGrid/>
          <w:color w:val="333333"/>
          <w:spacing w:val="0"/>
          <w:kern w:val="0"/>
          <w:sz w:val="24"/>
          <w:szCs w:val="24"/>
          <w:shd w:val="clear" w:color="auto" w:fill="FFFFFF"/>
          <w:lang w:val="en-US" w:eastAsia="zh-CN" w:bidi="ar"/>
        </w:rPr>
        <w:t>★5.要求仪器采用四轴智能机器人手臂，多点触控控制，运行更平稳，如遇故障自动保护，避免对机械手臂造成其他损坏。（提供加盖制造商公章复印件的实物图证明材料）</w:t>
      </w:r>
    </w:p>
    <w:p w14:paraId="02691F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napToGrid/>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color w:val="333333"/>
          <w:spacing w:val="0"/>
          <w:kern w:val="0"/>
          <w:sz w:val="24"/>
          <w:szCs w:val="24"/>
          <w:shd w:val="clear" w:color="auto" w:fill="FFFFFF"/>
          <w:lang w:val="en-US" w:eastAsia="zh-CN" w:bidi="ar"/>
        </w:rPr>
        <w:t>6.要求具备双重除静电模式，离子除静电风机，可实现整个箱体空间去除静电功能，天平金属防风罩避免静电对电平的影响；</w:t>
      </w:r>
    </w:p>
    <w:p w14:paraId="5D8BCD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napToGrid/>
          <w:color w:val="auto"/>
          <w:spacing w:val="0"/>
          <w:kern w:val="0"/>
          <w:sz w:val="24"/>
          <w:szCs w:val="24"/>
          <w:shd w:val="clear" w:color="auto" w:fill="FFFFFF"/>
          <w:lang w:val="en-US" w:eastAsia="zh-CN" w:bidi="ar"/>
        </w:rPr>
      </w:pPr>
      <w:r>
        <w:rPr>
          <w:rFonts w:hint="eastAsia" w:ascii="宋体" w:hAnsi="宋体" w:eastAsia="宋体" w:cs="宋体"/>
          <w:i w:val="0"/>
          <w:iCs w:val="0"/>
          <w:caps w:val="0"/>
          <w:snapToGrid/>
          <w:color w:val="auto"/>
          <w:spacing w:val="0"/>
          <w:kern w:val="0"/>
          <w:sz w:val="24"/>
          <w:szCs w:val="24"/>
          <w:shd w:val="clear" w:color="auto" w:fill="FFFFFF"/>
          <w:lang w:val="en-US" w:eastAsia="zh-CN" w:bidi="ar"/>
        </w:rPr>
        <w:t>★7.要求采用恒温恒湿箱体采用与整机一体化结构设计，样品可以在恒温恒湿腔体和高温腔体内自动运行，双压缩机运行独立运行，互不干扰，控温控湿精度更高。（提供加盖制造商公章复印件的双压缩机实物照片证明材料）；</w:t>
      </w:r>
    </w:p>
    <w:p w14:paraId="40FD41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color="auto" w:fill="FFFFFF"/>
          <w:lang w:val="en-US" w:eastAsia="zh-CN" w:bidi="ar"/>
        </w:rPr>
      </w:pPr>
      <w:r>
        <w:rPr>
          <w:rFonts w:hint="eastAsia" w:ascii="宋体" w:hAnsi="宋体" w:eastAsia="宋体" w:cs="宋体"/>
          <w:i w:val="0"/>
          <w:iCs w:val="0"/>
          <w:caps w:val="0"/>
          <w:snapToGrid/>
          <w:color w:val="333333"/>
          <w:spacing w:val="0"/>
          <w:kern w:val="0"/>
          <w:sz w:val="24"/>
          <w:szCs w:val="24"/>
          <w:shd w:val="clear" w:color="auto" w:fill="FFFFFF"/>
          <w:lang w:val="en-US" w:eastAsia="zh-CN" w:bidi="ar"/>
        </w:rPr>
        <w:t>8.可以自动实现样品自动恒定高温烘烤，自动恒温恒湿，自动称量恒重等过程，整个过程无须人工干预，自动记录称重数据，判断保存结果；</w:t>
      </w:r>
    </w:p>
    <w:p w14:paraId="5EED64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color="auto" w:fill="FFFFFF"/>
          <w:lang w:val="en-US" w:eastAsia="zh-CN" w:bidi="ar"/>
        </w:rPr>
      </w:pPr>
      <w:r>
        <w:rPr>
          <w:rFonts w:hint="eastAsia" w:ascii="宋体" w:hAnsi="宋体" w:eastAsia="宋体" w:cs="宋体"/>
          <w:i w:val="0"/>
          <w:iCs w:val="0"/>
          <w:caps w:val="0"/>
          <w:snapToGrid/>
          <w:color w:val="333333"/>
          <w:spacing w:val="0"/>
          <w:kern w:val="0"/>
          <w:sz w:val="24"/>
          <w:szCs w:val="24"/>
          <w:shd w:val="clear" w:color="auto" w:fill="FFFFFF"/>
          <w:lang w:val="en-US" w:eastAsia="zh-CN" w:bidi="ar"/>
        </w:rPr>
        <w:t>9.要求仪器无需更换任何配件即可实现溶解性总固体、含水率、环境空气降尘、干物质含量、水分等的样品或容器自动蒸发，兼容性好。</w:t>
      </w:r>
    </w:p>
    <w:p w14:paraId="2CA487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color="auto" w:fill="FFFFFF"/>
          <w:lang w:val="en-US" w:eastAsia="zh-CN" w:bidi="ar"/>
        </w:rPr>
      </w:pPr>
      <w:r>
        <w:rPr>
          <w:rFonts w:hint="eastAsia" w:ascii="宋体" w:hAnsi="宋体" w:eastAsia="宋体" w:cs="宋体"/>
          <w:i w:val="0"/>
          <w:iCs w:val="0"/>
          <w:caps w:val="0"/>
          <w:snapToGrid/>
          <w:color w:val="333333"/>
          <w:spacing w:val="0"/>
          <w:kern w:val="0"/>
          <w:sz w:val="24"/>
          <w:szCs w:val="24"/>
          <w:shd w:val="clear" w:color="auto" w:fill="FFFFFF"/>
          <w:lang w:val="en-US" w:eastAsia="zh-CN" w:bidi="ar"/>
        </w:rPr>
        <w:t>10.机械手具有多重防碰撞保护功能，当发生碰撞时，闭环电机能够感应到碰撞，设备紧急停机，并配有机械臂碰撞脱落功能，防止造成其他损坏。</w:t>
      </w:r>
    </w:p>
    <w:p w14:paraId="209FC2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color="auto" w:fill="FFFFFF"/>
          <w:lang w:val="en-US" w:eastAsia="zh-CN" w:bidi="ar"/>
        </w:rPr>
      </w:pPr>
      <w:r>
        <w:rPr>
          <w:rFonts w:hint="eastAsia" w:ascii="宋体" w:hAnsi="宋体" w:eastAsia="宋体" w:cs="宋体"/>
          <w:i w:val="0"/>
          <w:iCs w:val="0"/>
          <w:caps w:val="0"/>
          <w:snapToGrid/>
          <w:color w:val="333333"/>
          <w:spacing w:val="0"/>
          <w:kern w:val="0"/>
          <w:sz w:val="24"/>
          <w:szCs w:val="24"/>
          <w:shd w:val="clear" w:color="auto" w:fill="FFFFFF"/>
          <w:lang w:val="en-US" w:eastAsia="zh-CN" w:bidi="ar"/>
        </w:rPr>
        <w:t>11.根据国标方法要求，配套具盖容器，于105℃下烘干称重，要求具盖容器可在100℃高温高湿密闭环境中自动开关盖，无需人员干预操作；</w:t>
      </w:r>
    </w:p>
    <w:p w14:paraId="0141D4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snapToGrid/>
          <w:color w:val="333333"/>
          <w:spacing w:val="0"/>
          <w:kern w:val="0"/>
          <w:sz w:val="24"/>
          <w:szCs w:val="24"/>
          <w:shd w:val="clear" w:color="auto" w:fill="FFFFFF"/>
          <w:lang w:val="en-US" w:eastAsia="zh-CN" w:bidi="ar"/>
        </w:rPr>
      </w:pPr>
      <w:r>
        <w:rPr>
          <w:rFonts w:hint="eastAsia" w:ascii="宋体" w:hAnsi="宋体" w:eastAsia="宋体" w:cs="宋体"/>
          <w:i w:val="0"/>
          <w:iCs w:val="0"/>
          <w:caps w:val="0"/>
          <w:snapToGrid/>
          <w:color w:val="333333"/>
          <w:spacing w:val="0"/>
          <w:kern w:val="0"/>
          <w:sz w:val="24"/>
          <w:szCs w:val="24"/>
          <w:shd w:val="clear" w:color="auto" w:fill="FFFFFF"/>
          <w:lang w:val="en-US" w:eastAsia="zh-CN" w:bidi="ar"/>
        </w:rPr>
        <w:t>12.人性化的电脑软件设计，可以实现样品编辑运行，历史记录查询，控制恒温恒湿箱，称量数据自动记录，导出打印，报警等功能。</w:t>
      </w:r>
    </w:p>
    <w:p w14:paraId="269E6B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五、配置要求</w:t>
      </w:r>
    </w:p>
    <w:p w14:paraId="3C7746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1.</w:t>
      </w:r>
      <w:r>
        <w:rPr>
          <w:rFonts w:hint="eastAsia" w:ascii="宋体" w:hAnsi="宋体" w:eastAsia="宋体" w:cs="宋体"/>
          <w:snapToGrid/>
          <w:kern w:val="2"/>
          <w:sz w:val="24"/>
          <w:szCs w:val="24"/>
          <w:lang w:eastAsia="zh-CN"/>
        </w:rPr>
        <w:t>蒸发恒重分析仪主机（含十万分之一天平 + 除静电装置） 1台</w:t>
      </w:r>
    </w:p>
    <w:p w14:paraId="405460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2.</w:t>
      </w:r>
      <w:r>
        <w:rPr>
          <w:rFonts w:hint="eastAsia" w:ascii="宋体" w:hAnsi="宋体" w:eastAsia="宋体" w:cs="宋体"/>
          <w:snapToGrid/>
          <w:kern w:val="2"/>
          <w:sz w:val="24"/>
          <w:szCs w:val="24"/>
          <w:lang w:eastAsia="zh-CN"/>
        </w:rPr>
        <w:t>专用控制电脑1台</w:t>
      </w:r>
    </w:p>
    <w:p w14:paraId="046336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3.</w:t>
      </w:r>
      <w:r>
        <w:rPr>
          <w:rFonts w:hint="eastAsia" w:ascii="宋体" w:hAnsi="宋体" w:eastAsia="宋体" w:cs="宋体"/>
          <w:snapToGrid/>
          <w:kern w:val="2"/>
          <w:sz w:val="24"/>
          <w:szCs w:val="24"/>
          <w:lang w:eastAsia="zh-CN"/>
        </w:rPr>
        <w:t>配套打印机1台</w:t>
      </w:r>
    </w:p>
    <w:p w14:paraId="18CD3D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4.</w:t>
      </w:r>
      <w:r>
        <w:rPr>
          <w:rFonts w:hint="eastAsia" w:ascii="宋体" w:hAnsi="宋体" w:eastAsia="宋体" w:cs="宋体"/>
          <w:snapToGrid/>
          <w:kern w:val="2"/>
          <w:sz w:val="24"/>
          <w:szCs w:val="24"/>
          <w:lang w:eastAsia="zh-CN"/>
        </w:rPr>
        <w:t>实验专用样品杯≥100个</w:t>
      </w:r>
    </w:p>
    <w:p w14:paraId="29F030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snapToGrid/>
          <w:kern w:val="2"/>
          <w:sz w:val="24"/>
          <w:szCs w:val="24"/>
          <w:lang w:val="en-US" w:eastAsia="zh-CN"/>
        </w:rPr>
      </w:pPr>
      <w:r>
        <w:rPr>
          <w:rFonts w:hint="eastAsia" w:ascii="宋体" w:hAnsi="宋体" w:eastAsia="宋体" w:cs="宋体"/>
          <w:snapToGrid/>
          <w:kern w:val="2"/>
          <w:sz w:val="24"/>
          <w:szCs w:val="24"/>
          <w:lang w:val="en-US" w:eastAsia="zh-CN"/>
        </w:rPr>
        <w:t>5.</w:t>
      </w:r>
      <w:r>
        <w:rPr>
          <w:rFonts w:hint="eastAsia" w:ascii="宋体" w:hAnsi="宋体" w:eastAsia="宋体" w:cs="宋体"/>
          <w:snapToGrid/>
          <w:kern w:val="2"/>
          <w:sz w:val="24"/>
          <w:szCs w:val="24"/>
          <w:lang w:eastAsia="zh-CN"/>
        </w:rPr>
        <w:t>设备操作手册、合格证、保修卡、配套软件1套</w:t>
      </w:r>
    </w:p>
    <w:p w14:paraId="251AE8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六、售后服务要求</w:t>
      </w:r>
    </w:p>
    <w:p w14:paraId="69F811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1.整机原厂免费保修≥2年，质保期内免费上门维修、故障处理、常规校准；</w:t>
      </w:r>
    </w:p>
    <w:p w14:paraId="3C386C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2.免费上门安装调试、现场操作培训，确保实验人员独立操作使用；</w:t>
      </w:r>
    </w:p>
    <w:p w14:paraId="2A2A31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3.提供终身技术咨询，故障问题及时响应，保障实验室正常检测工作开展；</w:t>
      </w:r>
    </w:p>
    <w:p w14:paraId="3EB25562">
      <w:pPr>
        <w:keepNext w:val="0"/>
        <w:keepLines w:val="0"/>
        <w:pageBreakBefore w:val="0"/>
        <w:wordWrap/>
        <w:overflowPunct/>
        <w:topLinePunct w:val="0"/>
        <w:bidi w:val="0"/>
        <w:spacing w:line="360" w:lineRule="auto"/>
        <w:ind w:firstLine="480" w:firstLineChars="200"/>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4.供货含全套说明书、出厂合格证、检测报告、质保资料。</w:t>
      </w:r>
    </w:p>
    <w:p w14:paraId="3D0C1E5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b/>
          <w:bCs/>
          <w:snapToGrid/>
          <w:kern w:val="2"/>
          <w:sz w:val="28"/>
          <w:szCs w:val="28"/>
          <w:lang w:val="en-US" w:eastAsia="zh-CN"/>
        </w:rPr>
      </w:pPr>
      <w:bookmarkStart w:id="94" w:name="_Toc31199"/>
      <w:bookmarkStart w:id="95" w:name="_Toc25040"/>
      <w:r>
        <w:rPr>
          <w:rFonts w:hint="eastAsia" w:ascii="宋体" w:hAnsi="宋体" w:eastAsia="宋体" w:cs="宋体"/>
          <w:b/>
          <w:bCs/>
          <w:snapToGrid/>
          <w:kern w:val="2"/>
          <w:sz w:val="28"/>
          <w:szCs w:val="28"/>
          <w:lang w:val="en-US" w:eastAsia="zh-CN"/>
        </w:rPr>
        <w:t>3.全自动游离二氧化硅前处理仪</w:t>
      </w:r>
      <w:bookmarkEnd w:id="94"/>
      <w:bookmarkEnd w:id="95"/>
    </w:p>
    <w:p w14:paraId="2D6B8B39">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一、仪器用途</w:t>
      </w:r>
    </w:p>
    <w:p w14:paraId="1DDB540F">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用于工作场所空气中粉尘游离二氧化硅（焦磷酸法）全自动前处理，实现焦磷酸制备、加热控温、搅拌、过滤、清洗一体化全自动完成，全程不转移、不外置，依据国家职业卫生标准《GBZ/T 192.4-2007 工作场所空气中粉尘测定 第4部分 游离二氧化硅含量》中规定的前处理步骤，</w:t>
      </w:r>
      <w:r>
        <w:rPr>
          <w:rFonts w:hint="eastAsia" w:ascii="宋体" w:hAnsi="宋体" w:eastAsia="宋体" w:cs="宋体"/>
          <w:snapToGrid/>
          <w:color w:val="000000"/>
          <w:kern w:val="2"/>
          <w:sz w:val="24"/>
          <w:szCs w:val="24"/>
          <w:lang w:eastAsia="zh-CN" w:bidi="ar"/>
        </w:rPr>
        <w:t>自动添加磷酸试剂，或在线制备焦磷酸试剂</w:t>
      </w:r>
      <w:r>
        <w:rPr>
          <w:rFonts w:hint="eastAsia" w:ascii="宋体" w:hAnsi="宋体" w:eastAsia="宋体" w:cs="宋体"/>
          <w:snapToGrid/>
          <w:color w:val="000000"/>
          <w:kern w:val="2"/>
          <w:sz w:val="24"/>
          <w:szCs w:val="24"/>
          <w:lang w:eastAsia="zh-CN"/>
        </w:rPr>
        <w:t>，自动控温在245-250℃，自动搅拌样品，自动给样品冷却降温并过滤，过滤后，自动加水清洗烧杯，实现了样品的加热消解、过滤分离和清洗动作，实现了游离二氧化硅分离前处理的自动化。</w:t>
      </w:r>
    </w:p>
    <w:p w14:paraId="02347BCD">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val="en-US" w:eastAsia="zh-CN"/>
        </w:rPr>
        <w:t>二、</w:t>
      </w:r>
      <w:r>
        <w:rPr>
          <w:rFonts w:hint="eastAsia" w:ascii="宋体" w:hAnsi="宋体" w:eastAsia="宋体" w:cs="宋体"/>
          <w:snapToGrid/>
          <w:color w:val="000000"/>
          <w:kern w:val="2"/>
          <w:sz w:val="24"/>
          <w:szCs w:val="24"/>
          <w:lang w:eastAsia="zh-CN"/>
        </w:rPr>
        <w:t>主要技术参数及要求</w:t>
      </w:r>
    </w:p>
    <w:p w14:paraId="2886C8DA">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w:t>
      </w:r>
      <w:r>
        <w:rPr>
          <w:rFonts w:hint="eastAsia" w:ascii="宋体" w:hAnsi="宋体" w:eastAsia="宋体" w:cs="宋体"/>
          <w:bCs/>
          <w:snapToGrid/>
          <w:color w:val="000000"/>
          <w:kern w:val="2"/>
          <w:sz w:val="24"/>
          <w:szCs w:val="24"/>
          <w:lang w:eastAsia="zh-CN"/>
        </w:rPr>
        <w:t>内置</w:t>
      </w:r>
      <w:r>
        <w:rPr>
          <w:rFonts w:hint="eastAsia" w:ascii="宋体" w:hAnsi="宋体" w:eastAsia="宋体" w:cs="宋体"/>
          <w:snapToGrid/>
          <w:color w:val="000000"/>
          <w:kern w:val="2"/>
          <w:sz w:val="24"/>
          <w:szCs w:val="24"/>
          <w:lang w:eastAsia="zh-CN"/>
        </w:rPr>
        <w:t>多功能样品架，包含：样品位≥8位，过滤清洗位≥8位。</w:t>
      </w:r>
    </w:p>
    <w:p w14:paraId="55D42A69">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w:t>
      </w:r>
      <w:r>
        <w:rPr>
          <w:rFonts w:hint="eastAsia" w:ascii="宋体" w:hAnsi="宋体" w:eastAsia="宋体" w:cs="宋体"/>
          <w:bCs/>
          <w:snapToGrid/>
          <w:color w:val="000000"/>
          <w:kern w:val="2"/>
          <w:sz w:val="24"/>
          <w:szCs w:val="24"/>
          <w:lang w:eastAsia="zh-CN"/>
        </w:rPr>
        <w:t>内置高精度</w:t>
      </w:r>
      <w:r>
        <w:rPr>
          <w:rFonts w:hint="eastAsia" w:ascii="宋体" w:hAnsi="宋体" w:eastAsia="宋体" w:cs="宋体"/>
          <w:snapToGrid/>
          <w:color w:val="000000"/>
          <w:kern w:val="2"/>
          <w:sz w:val="24"/>
          <w:szCs w:val="24"/>
          <w:lang w:eastAsia="zh-CN"/>
        </w:rPr>
        <w:t>自动控温加热器，双感温控探头，实时监控样品温度，控温精度±1℃。</w:t>
      </w:r>
    </w:p>
    <w:p w14:paraId="476BE878">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w:t>
      </w:r>
      <w:r>
        <w:rPr>
          <w:rFonts w:hint="eastAsia" w:ascii="宋体" w:hAnsi="宋体" w:eastAsia="宋体" w:cs="宋体"/>
          <w:snapToGrid/>
          <w:color w:val="000000"/>
          <w:kern w:val="2"/>
          <w:sz w:val="24"/>
          <w:szCs w:val="24"/>
          <w:lang w:val="en-US" w:eastAsia="zh-CN"/>
        </w:rPr>
        <w:t>.</w:t>
      </w:r>
      <w:r>
        <w:rPr>
          <w:rFonts w:hint="eastAsia" w:ascii="宋体" w:hAnsi="宋体" w:eastAsia="宋体" w:cs="宋体"/>
          <w:snapToGrid/>
          <w:color w:val="000000"/>
          <w:kern w:val="2"/>
          <w:sz w:val="24"/>
          <w:szCs w:val="24"/>
          <w:lang w:eastAsia="zh-CN"/>
        </w:rPr>
        <w:t>精准控温装置，加热工位的功率≤500W，加热快速均匀安全，10min内样品升温至245℃-250℃，并保持恒定；液体温度实时显示，温度误差≤±1℃。</w:t>
      </w:r>
    </w:p>
    <w:p w14:paraId="11C213C5">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w:t>
      </w:r>
      <w:r>
        <w:rPr>
          <w:rFonts w:hint="eastAsia" w:ascii="宋体" w:hAnsi="宋体" w:eastAsia="宋体" w:cs="宋体"/>
          <w:snapToGrid/>
          <w:color w:val="000000"/>
          <w:kern w:val="2"/>
          <w:sz w:val="24"/>
          <w:szCs w:val="24"/>
          <w:lang w:val="en-US" w:eastAsia="zh-CN"/>
        </w:rPr>
        <w:t>.</w:t>
      </w:r>
      <w:r>
        <w:rPr>
          <w:rFonts w:hint="eastAsia" w:ascii="宋体" w:hAnsi="宋体" w:eastAsia="宋体" w:cs="宋体"/>
          <w:snapToGrid/>
          <w:color w:val="000000"/>
          <w:kern w:val="2"/>
          <w:sz w:val="24"/>
          <w:szCs w:val="24"/>
          <w:lang w:eastAsia="zh-CN"/>
        </w:rPr>
        <w:t>内置高精度自动进样系统，进样器需采用耐高温、耐磨、耐酸碱材质；自动设置加液体积，开启自动搅拌功能。进样误差＜0.1mL；实验过程自动添加。</w:t>
      </w:r>
    </w:p>
    <w:p w14:paraId="5D7D2DAD">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FF0000"/>
          <w:kern w:val="2"/>
          <w:sz w:val="24"/>
          <w:szCs w:val="24"/>
          <w:lang w:eastAsia="zh-CN"/>
        </w:rPr>
      </w:pPr>
      <w:r>
        <w:rPr>
          <w:rFonts w:hint="eastAsia" w:ascii="宋体" w:hAnsi="宋体" w:eastAsia="宋体" w:cs="宋体"/>
          <w:bCs/>
          <w:snapToGrid/>
          <w:color w:val="000000"/>
          <w:kern w:val="2"/>
          <w:sz w:val="24"/>
          <w:szCs w:val="24"/>
          <w:lang w:eastAsia="zh-CN"/>
        </w:rPr>
        <w:t>★5</w:t>
      </w:r>
      <w:r>
        <w:rPr>
          <w:rFonts w:hint="eastAsia" w:ascii="宋体" w:hAnsi="宋体" w:eastAsia="宋体" w:cs="宋体"/>
          <w:bCs/>
          <w:snapToGrid/>
          <w:color w:val="000000"/>
          <w:kern w:val="2"/>
          <w:sz w:val="24"/>
          <w:szCs w:val="24"/>
          <w:lang w:val="en-US" w:eastAsia="zh-CN"/>
        </w:rPr>
        <w:t>.</w:t>
      </w:r>
      <w:r>
        <w:rPr>
          <w:rFonts w:hint="eastAsia" w:ascii="宋体" w:hAnsi="宋体" w:eastAsia="宋体" w:cs="宋体"/>
          <w:bCs/>
          <w:snapToGrid/>
          <w:color w:val="000000"/>
          <w:kern w:val="2"/>
          <w:sz w:val="24"/>
          <w:szCs w:val="24"/>
          <w:lang w:eastAsia="zh-CN"/>
        </w:rPr>
        <w:t>内置创新</w:t>
      </w:r>
      <w:r>
        <w:rPr>
          <w:rFonts w:hint="eastAsia" w:ascii="宋体" w:hAnsi="宋体" w:eastAsia="宋体" w:cs="宋体"/>
          <w:snapToGrid/>
          <w:color w:val="000000"/>
          <w:kern w:val="2"/>
          <w:sz w:val="24"/>
          <w:szCs w:val="24"/>
          <w:lang w:eastAsia="zh-CN"/>
        </w:rPr>
        <w:t>模拟人工倾倒清洗系统，模拟手工方法倾倒，配置360度清洗喷头使样品能够完整转移至漏斗。</w:t>
      </w:r>
    </w:p>
    <w:p w14:paraId="264E4022">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bCs/>
          <w:snapToGrid/>
          <w:color w:val="000000"/>
          <w:kern w:val="2"/>
          <w:sz w:val="24"/>
          <w:szCs w:val="24"/>
          <w:lang w:eastAsia="zh-CN"/>
        </w:rPr>
        <w:t>★</w:t>
      </w:r>
      <w:r>
        <w:rPr>
          <w:rFonts w:hint="eastAsia" w:ascii="宋体" w:hAnsi="宋体" w:eastAsia="宋体" w:cs="宋体"/>
          <w:snapToGrid/>
          <w:color w:val="000000"/>
          <w:kern w:val="2"/>
          <w:sz w:val="24"/>
          <w:szCs w:val="24"/>
          <w:lang w:eastAsia="zh-CN"/>
        </w:rPr>
        <w:t>6</w:t>
      </w:r>
      <w:r>
        <w:rPr>
          <w:rFonts w:hint="eastAsia" w:ascii="宋体" w:hAnsi="宋体" w:eastAsia="宋体" w:cs="宋体"/>
          <w:snapToGrid/>
          <w:color w:val="000000"/>
          <w:kern w:val="2"/>
          <w:sz w:val="24"/>
          <w:szCs w:val="24"/>
          <w:lang w:val="en-US" w:eastAsia="zh-CN"/>
        </w:rPr>
        <w:t>.</w:t>
      </w:r>
      <w:r>
        <w:rPr>
          <w:rFonts w:hint="eastAsia" w:ascii="宋体" w:hAnsi="宋体" w:eastAsia="宋体" w:cs="宋体"/>
          <w:bCs/>
          <w:snapToGrid/>
          <w:color w:val="000000"/>
          <w:kern w:val="2"/>
          <w:sz w:val="24"/>
          <w:szCs w:val="24"/>
          <w:lang w:eastAsia="zh-CN"/>
        </w:rPr>
        <w:t>内置</w:t>
      </w:r>
      <w:r>
        <w:rPr>
          <w:rFonts w:hint="eastAsia" w:ascii="宋体" w:hAnsi="宋体" w:eastAsia="宋体" w:cs="宋体"/>
          <w:snapToGrid/>
          <w:color w:val="000000"/>
          <w:kern w:val="2"/>
          <w:sz w:val="24"/>
          <w:szCs w:val="24"/>
          <w:lang w:eastAsia="zh-CN"/>
        </w:rPr>
        <w:t>创新过滤清洗系统。常压过滤清洗，8个过滤位平行清洗，</w:t>
      </w:r>
      <w:r>
        <w:rPr>
          <w:rFonts w:hint="eastAsia" w:ascii="宋体" w:hAnsi="宋体" w:eastAsia="宋体" w:cs="宋体"/>
          <w:snapToGrid/>
          <w:color w:val="000000"/>
          <w:kern w:val="2"/>
          <w:sz w:val="24"/>
          <w:szCs w:val="24"/>
          <w:lang w:val="en-US" w:eastAsia="zh-CN"/>
        </w:rPr>
        <w:t>用</w:t>
      </w:r>
      <w:r>
        <w:rPr>
          <w:rFonts w:hint="eastAsia" w:ascii="宋体" w:hAnsi="宋体" w:eastAsia="宋体" w:cs="宋体"/>
          <w:snapToGrid/>
          <w:color w:val="000000"/>
          <w:kern w:val="2"/>
          <w:sz w:val="24"/>
          <w:szCs w:val="24"/>
          <w:lang w:eastAsia="zh-CN"/>
        </w:rPr>
        <w:t>高温纯水和0.1mol/L盐酸自动清洗烧杯和滤纸。不使用负压装置或通过其他管道转移样品。</w:t>
      </w:r>
    </w:p>
    <w:p w14:paraId="22FF1C9D">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bCs/>
          <w:snapToGrid/>
          <w:color w:val="000000"/>
          <w:kern w:val="2"/>
          <w:sz w:val="24"/>
          <w:szCs w:val="24"/>
          <w:lang w:eastAsia="zh-CN"/>
        </w:rPr>
        <w:t>★</w:t>
      </w:r>
      <w:r>
        <w:rPr>
          <w:rFonts w:hint="eastAsia" w:ascii="宋体" w:hAnsi="宋体" w:eastAsia="宋体" w:cs="宋体"/>
          <w:snapToGrid/>
          <w:color w:val="000000"/>
          <w:kern w:val="2"/>
          <w:sz w:val="24"/>
          <w:szCs w:val="24"/>
          <w:lang w:eastAsia="zh-CN"/>
        </w:rPr>
        <w:t>7</w:t>
      </w:r>
      <w:r>
        <w:rPr>
          <w:rFonts w:hint="eastAsia" w:ascii="宋体" w:hAnsi="宋体" w:eastAsia="宋体" w:cs="宋体"/>
          <w:snapToGrid/>
          <w:color w:val="000000"/>
          <w:kern w:val="2"/>
          <w:sz w:val="24"/>
          <w:szCs w:val="24"/>
          <w:lang w:val="en-US" w:eastAsia="zh-CN"/>
        </w:rPr>
        <w:t>.</w:t>
      </w:r>
      <w:r>
        <w:rPr>
          <w:rFonts w:hint="eastAsia" w:ascii="宋体" w:hAnsi="宋体" w:eastAsia="宋体" w:cs="宋体"/>
          <w:bCs/>
          <w:snapToGrid/>
          <w:color w:val="000000"/>
          <w:kern w:val="2"/>
          <w:sz w:val="24"/>
          <w:szCs w:val="24"/>
          <w:lang w:eastAsia="zh-CN"/>
        </w:rPr>
        <w:t>内置在线无接触测距装置系统，可实时监测过滤状态，自动调节角度，提高实验效率。</w:t>
      </w:r>
    </w:p>
    <w:p w14:paraId="2FF978B8">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bCs/>
          <w:snapToGrid/>
          <w:color w:val="000000"/>
          <w:kern w:val="2"/>
          <w:sz w:val="24"/>
          <w:szCs w:val="24"/>
          <w:lang w:eastAsia="zh-CN"/>
        </w:rPr>
        <w:t>★</w:t>
      </w:r>
      <w:r>
        <w:rPr>
          <w:rFonts w:hint="eastAsia" w:ascii="宋体" w:hAnsi="宋体" w:eastAsia="宋体" w:cs="宋体"/>
          <w:snapToGrid/>
          <w:color w:val="000000"/>
          <w:kern w:val="2"/>
          <w:sz w:val="24"/>
          <w:szCs w:val="24"/>
          <w:lang w:eastAsia="zh-CN"/>
        </w:rPr>
        <w:t>8</w:t>
      </w:r>
      <w:r>
        <w:rPr>
          <w:rFonts w:hint="eastAsia" w:ascii="宋体" w:hAnsi="宋体" w:eastAsia="宋体" w:cs="宋体"/>
          <w:snapToGrid/>
          <w:color w:val="000000"/>
          <w:kern w:val="2"/>
          <w:sz w:val="24"/>
          <w:szCs w:val="24"/>
          <w:lang w:val="en-US" w:eastAsia="zh-CN"/>
        </w:rPr>
        <w:t>.</w:t>
      </w:r>
      <w:r>
        <w:rPr>
          <w:rFonts w:hint="eastAsia" w:ascii="宋体" w:hAnsi="宋体" w:eastAsia="宋体" w:cs="宋体"/>
          <w:bCs/>
          <w:snapToGrid/>
          <w:color w:val="000000"/>
          <w:kern w:val="2"/>
          <w:sz w:val="24"/>
          <w:szCs w:val="24"/>
          <w:lang w:eastAsia="zh-CN"/>
        </w:rPr>
        <w:t>清洗复洗过滤模块。</w:t>
      </w:r>
      <w:r>
        <w:rPr>
          <w:rFonts w:hint="eastAsia" w:ascii="宋体" w:hAnsi="宋体" w:eastAsia="宋体" w:cs="宋体"/>
          <w:snapToGrid/>
          <w:color w:val="auto"/>
          <w:kern w:val="2"/>
          <w:sz w:val="24"/>
          <w:szCs w:val="24"/>
          <w:lang w:eastAsia="zh-CN"/>
        </w:rPr>
        <w:t>带有8个过滤清洗工位，</w:t>
      </w:r>
      <w:r>
        <w:rPr>
          <w:rFonts w:hint="eastAsia" w:ascii="宋体" w:hAnsi="宋体" w:eastAsia="宋体" w:cs="宋体"/>
          <w:snapToGrid/>
          <w:color w:val="000000"/>
          <w:kern w:val="2"/>
          <w:sz w:val="24"/>
          <w:szCs w:val="24"/>
          <w:lang w:eastAsia="zh-CN"/>
        </w:rPr>
        <w:t>旋转滴液，平行清洗，提高效率。可二次清洗，根据样品特性可编程清洗次数，直至无磷酸根。加快过滤过程。</w:t>
      </w:r>
    </w:p>
    <w:p w14:paraId="109901D7">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9</w:t>
      </w:r>
      <w:r>
        <w:rPr>
          <w:rFonts w:hint="eastAsia" w:ascii="宋体" w:hAnsi="宋体" w:eastAsia="宋体" w:cs="宋体"/>
          <w:snapToGrid/>
          <w:color w:val="000000"/>
          <w:kern w:val="2"/>
          <w:sz w:val="24"/>
          <w:szCs w:val="24"/>
          <w:lang w:val="en-US" w:eastAsia="zh-CN"/>
        </w:rPr>
        <w:t>.</w:t>
      </w:r>
      <w:r>
        <w:rPr>
          <w:rFonts w:hint="eastAsia" w:ascii="宋体" w:hAnsi="宋体" w:eastAsia="宋体" w:cs="宋体"/>
          <w:snapToGrid/>
          <w:color w:val="000000"/>
          <w:kern w:val="2"/>
          <w:sz w:val="24"/>
          <w:szCs w:val="24"/>
          <w:lang w:eastAsia="zh-CN"/>
        </w:rPr>
        <w:t>创新加液搅拌系统，可在线加磷酸，自动加热溶解搅拌，可在线制备焦磷酸也可直接使用焦磷酸进行实验</w:t>
      </w:r>
    </w:p>
    <w:p w14:paraId="58E84429">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snapToGrid/>
          <w:color w:val="000000"/>
          <w:kern w:val="2"/>
          <w:sz w:val="24"/>
          <w:szCs w:val="24"/>
          <w:lang w:eastAsia="zh-CN"/>
        </w:rPr>
      </w:pPr>
      <w:r>
        <w:rPr>
          <w:rFonts w:hint="eastAsia" w:ascii="宋体" w:hAnsi="宋体" w:eastAsia="宋体" w:cs="宋体"/>
          <w:bCs/>
          <w:snapToGrid/>
          <w:color w:val="000000"/>
          <w:kern w:val="2"/>
          <w:sz w:val="24"/>
          <w:szCs w:val="24"/>
          <w:lang w:eastAsia="zh-CN"/>
        </w:rPr>
        <w:t>★</w:t>
      </w:r>
      <w:r>
        <w:rPr>
          <w:rFonts w:hint="eastAsia" w:ascii="宋体" w:hAnsi="宋体" w:eastAsia="宋体" w:cs="宋体"/>
          <w:snapToGrid/>
          <w:color w:val="000000"/>
          <w:kern w:val="2"/>
          <w:sz w:val="24"/>
          <w:szCs w:val="24"/>
          <w:lang w:eastAsia="zh-CN"/>
        </w:rPr>
        <w:t>10</w:t>
      </w:r>
      <w:r>
        <w:rPr>
          <w:rFonts w:hint="eastAsia" w:ascii="宋体" w:hAnsi="宋体" w:eastAsia="宋体" w:cs="宋体"/>
          <w:snapToGrid/>
          <w:color w:val="000000"/>
          <w:kern w:val="2"/>
          <w:sz w:val="24"/>
          <w:szCs w:val="24"/>
          <w:lang w:val="en-US" w:eastAsia="zh-CN"/>
        </w:rPr>
        <w:t>.</w:t>
      </w:r>
      <w:r>
        <w:rPr>
          <w:rFonts w:hint="eastAsia" w:ascii="宋体" w:hAnsi="宋体" w:eastAsia="宋体" w:cs="宋体"/>
          <w:bCs/>
          <w:snapToGrid/>
          <w:color w:val="000000"/>
          <w:kern w:val="2"/>
          <w:sz w:val="24"/>
          <w:szCs w:val="24"/>
          <w:lang w:eastAsia="zh-CN"/>
        </w:rPr>
        <w:t>一体机：一机自动完成加热控温、搅拌、过滤步骤，全程无需转移至机外进行实验。</w:t>
      </w:r>
    </w:p>
    <w:p w14:paraId="618BB56E">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Cs/>
          <w:snapToGrid/>
          <w:color w:val="000000"/>
          <w:kern w:val="2"/>
          <w:sz w:val="24"/>
          <w:szCs w:val="24"/>
          <w:lang w:eastAsia="zh-CN"/>
        </w:rPr>
      </w:pPr>
      <w:r>
        <w:rPr>
          <w:rFonts w:hint="eastAsia" w:ascii="宋体" w:hAnsi="宋体" w:eastAsia="宋体" w:cs="宋体"/>
          <w:bCs/>
          <w:snapToGrid/>
          <w:color w:val="000000"/>
          <w:kern w:val="2"/>
          <w:sz w:val="24"/>
          <w:szCs w:val="24"/>
          <w:lang w:eastAsia="zh-CN"/>
        </w:rPr>
        <w:t>11.内置蒸馏水自动加热装置，蒸馏水水箱自动加水，自动补水，自动加热。</w:t>
      </w:r>
    </w:p>
    <w:p w14:paraId="47BC2350">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12.内置保温过滤模块，过滤全程保温，提高过滤速度。</w:t>
      </w:r>
    </w:p>
    <w:p w14:paraId="17A3928D">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13</w:t>
      </w:r>
      <w:r>
        <w:rPr>
          <w:rFonts w:hint="eastAsia" w:ascii="宋体" w:hAnsi="宋体" w:eastAsia="宋体" w:cs="宋体"/>
          <w:snapToGrid/>
          <w:color w:val="000000"/>
          <w:kern w:val="2"/>
          <w:sz w:val="24"/>
          <w:szCs w:val="24"/>
          <w:lang w:val="en-US" w:eastAsia="zh-CN"/>
        </w:rPr>
        <w:t>.</w:t>
      </w:r>
      <w:r>
        <w:rPr>
          <w:rFonts w:hint="eastAsia" w:ascii="宋体" w:hAnsi="宋体" w:eastAsia="宋体" w:cs="宋体"/>
          <w:snapToGrid/>
          <w:color w:val="000000"/>
          <w:kern w:val="2"/>
          <w:sz w:val="24"/>
          <w:szCs w:val="24"/>
          <w:lang w:eastAsia="zh-CN"/>
        </w:rPr>
        <w:t>需自带排风管道，可自动排风。</w:t>
      </w:r>
    </w:p>
    <w:p w14:paraId="7939E092">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14</w:t>
      </w:r>
      <w:r>
        <w:rPr>
          <w:rFonts w:hint="eastAsia" w:ascii="宋体" w:hAnsi="宋体" w:eastAsia="宋体" w:cs="宋体"/>
          <w:snapToGrid/>
          <w:color w:val="000000"/>
          <w:kern w:val="2"/>
          <w:sz w:val="24"/>
          <w:szCs w:val="24"/>
          <w:lang w:val="en-US" w:eastAsia="zh-CN"/>
        </w:rPr>
        <w:t>.</w:t>
      </w:r>
      <w:r>
        <w:rPr>
          <w:rFonts w:hint="eastAsia" w:ascii="宋体" w:hAnsi="宋体" w:eastAsia="宋体" w:cs="宋体"/>
          <w:snapToGrid/>
          <w:color w:val="000000"/>
          <w:kern w:val="2"/>
          <w:sz w:val="24"/>
          <w:szCs w:val="24"/>
          <w:lang w:eastAsia="zh-CN"/>
        </w:rPr>
        <w:t>配合定制玻璃烧杯，无需转移样品，减少样品在不同器皿之间转移过程中的样品损失。</w:t>
      </w:r>
    </w:p>
    <w:p w14:paraId="3C692777">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15</w:t>
      </w:r>
      <w:r>
        <w:rPr>
          <w:rFonts w:hint="eastAsia" w:ascii="宋体" w:hAnsi="宋体" w:eastAsia="宋体" w:cs="宋体"/>
          <w:snapToGrid/>
          <w:color w:val="000000"/>
          <w:kern w:val="2"/>
          <w:sz w:val="24"/>
          <w:szCs w:val="24"/>
          <w:lang w:val="en-US" w:eastAsia="zh-CN"/>
        </w:rPr>
        <w:t>.</w:t>
      </w:r>
      <w:r>
        <w:rPr>
          <w:rFonts w:hint="eastAsia" w:ascii="宋体" w:hAnsi="宋体" w:eastAsia="宋体" w:cs="宋体"/>
          <w:snapToGrid/>
          <w:color w:val="000000"/>
          <w:kern w:val="2"/>
          <w:sz w:val="24"/>
          <w:szCs w:val="24"/>
          <w:lang w:eastAsia="zh-CN"/>
        </w:rPr>
        <w:t>准确度：高中低浓度质控符合标准。数据在确定度范围内。</w:t>
      </w:r>
    </w:p>
    <w:p w14:paraId="291BE5C3">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16</w:t>
      </w:r>
      <w:r>
        <w:rPr>
          <w:rFonts w:hint="eastAsia" w:ascii="宋体" w:hAnsi="宋体" w:eastAsia="宋体" w:cs="宋体"/>
          <w:snapToGrid/>
          <w:color w:val="000000"/>
          <w:kern w:val="2"/>
          <w:sz w:val="24"/>
          <w:szCs w:val="24"/>
          <w:lang w:val="en-US" w:eastAsia="zh-CN"/>
        </w:rPr>
        <w:t>.</w:t>
      </w:r>
      <w:r>
        <w:rPr>
          <w:rFonts w:hint="eastAsia" w:ascii="宋体" w:hAnsi="宋体" w:eastAsia="宋体" w:cs="宋体"/>
          <w:snapToGrid/>
          <w:color w:val="000000"/>
          <w:kern w:val="2"/>
          <w:sz w:val="24"/>
          <w:szCs w:val="24"/>
          <w:lang w:eastAsia="zh-CN"/>
        </w:rPr>
        <w:t>精密度：高中低浓度质控符合标准。数据的相对标准偏差RSD&lt;5%。</w:t>
      </w:r>
    </w:p>
    <w:p w14:paraId="22B8727C">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17.一键式操作，全程无须人工干预。仪器自带试剂用量提醒功能。实验可选焦磷酸，也可选磷酸在线制备焦磷酸。定制玻璃烧杯，满足实验用量大小。可使用原厂试剂，用户也可自行配备。</w:t>
      </w:r>
    </w:p>
    <w:p w14:paraId="2E8F55E3">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val="en-US" w:eastAsia="zh-CN"/>
        </w:rPr>
        <w:t>18.</w:t>
      </w:r>
      <w:r>
        <w:rPr>
          <w:rFonts w:hint="eastAsia" w:ascii="宋体" w:hAnsi="宋体" w:eastAsia="宋体" w:cs="宋体"/>
          <w:snapToGrid/>
          <w:color w:val="000000"/>
          <w:kern w:val="2"/>
          <w:sz w:val="24"/>
          <w:szCs w:val="24"/>
          <w:lang w:eastAsia="zh-CN"/>
        </w:rPr>
        <w:t>实验结束后自动清洗所有管路。可根据实验需要，设定清洗方法。仪器</w:t>
      </w:r>
      <w:r>
        <w:rPr>
          <w:rFonts w:hint="eastAsia" w:ascii="宋体" w:hAnsi="宋体" w:eastAsia="宋体" w:cs="宋体"/>
          <w:bCs/>
          <w:snapToGrid/>
          <w:color w:val="000000"/>
          <w:kern w:val="2"/>
          <w:sz w:val="24"/>
          <w:szCs w:val="24"/>
          <w:lang w:eastAsia="zh-CN"/>
        </w:rPr>
        <w:t>内置电脑，智能</w:t>
      </w:r>
      <w:r>
        <w:rPr>
          <w:rFonts w:hint="eastAsia" w:ascii="宋体" w:hAnsi="宋体" w:eastAsia="宋体" w:cs="宋体"/>
          <w:snapToGrid/>
          <w:color w:val="000000"/>
          <w:kern w:val="2"/>
          <w:sz w:val="24"/>
          <w:szCs w:val="24"/>
          <w:lang w:eastAsia="zh-CN"/>
        </w:rPr>
        <w:t>触屏控制，可选多种模式进行实验。</w:t>
      </w:r>
    </w:p>
    <w:p w14:paraId="4BDEBE41">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val="en-US" w:eastAsia="zh-CN"/>
        </w:rPr>
        <w:t>三、</w:t>
      </w:r>
      <w:r>
        <w:rPr>
          <w:rFonts w:hint="eastAsia" w:ascii="宋体" w:hAnsi="宋体" w:eastAsia="宋体" w:cs="宋体"/>
          <w:snapToGrid/>
          <w:color w:val="000000"/>
          <w:kern w:val="2"/>
          <w:sz w:val="24"/>
          <w:szCs w:val="24"/>
          <w:lang w:eastAsia="zh-CN"/>
        </w:rPr>
        <w:t>主要配置清单</w:t>
      </w:r>
    </w:p>
    <w:p w14:paraId="38E0A383">
      <w:pPr>
        <w:keepNext w:val="0"/>
        <w:keepLines w:val="0"/>
        <w:pageBreakBefore w:val="0"/>
        <w:widowControl w:val="0"/>
        <w:tabs>
          <w:tab w:val="left" w:pos="360"/>
          <w:tab w:val="left" w:pos="525"/>
          <w:tab w:val="left" w:pos="630"/>
          <w:tab w:val="left" w:pos="1065"/>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napToGrid/>
          <w:color w:val="000000"/>
          <w:kern w:val="2"/>
          <w:sz w:val="24"/>
          <w:szCs w:val="24"/>
          <w:lang w:eastAsia="zh-CN"/>
        </w:rPr>
      </w:pPr>
      <w:bookmarkStart w:id="96" w:name="OLE_LINK1"/>
      <w:r>
        <w:rPr>
          <w:rFonts w:hint="eastAsia" w:ascii="宋体" w:hAnsi="宋体" w:eastAsia="宋体" w:cs="宋体"/>
          <w:snapToGrid/>
          <w:color w:val="000000"/>
          <w:kern w:val="2"/>
          <w:sz w:val="24"/>
          <w:szCs w:val="24"/>
          <w:lang w:eastAsia="zh-CN"/>
        </w:rPr>
        <w:t>1.主机1台</w:t>
      </w:r>
    </w:p>
    <w:p w14:paraId="1CEDB67A">
      <w:pPr>
        <w:keepNext w:val="0"/>
        <w:keepLines w:val="0"/>
        <w:pageBreakBefore w:val="0"/>
        <w:widowControl w:val="0"/>
        <w:tabs>
          <w:tab w:val="left" w:pos="360"/>
          <w:tab w:val="left" w:pos="525"/>
          <w:tab w:val="left" w:pos="630"/>
          <w:tab w:val="left" w:pos="1065"/>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2.定制样品杯16个</w:t>
      </w:r>
    </w:p>
    <w:p w14:paraId="667E30A6">
      <w:pPr>
        <w:keepNext w:val="0"/>
        <w:keepLines w:val="0"/>
        <w:pageBreakBefore w:val="0"/>
        <w:widowControl w:val="0"/>
        <w:tabs>
          <w:tab w:val="left" w:pos="360"/>
          <w:tab w:val="left" w:pos="525"/>
          <w:tab w:val="left" w:pos="630"/>
          <w:tab w:val="left" w:pos="1065"/>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3.定制漏斗杯16个</w:t>
      </w:r>
    </w:p>
    <w:p w14:paraId="121D3157">
      <w:pPr>
        <w:keepNext w:val="0"/>
        <w:keepLines w:val="0"/>
        <w:pageBreakBefore w:val="0"/>
        <w:widowControl w:val="0"/>
        <w:tabs>
          <w:tab w:val="left" w:pos="360"/>
          <w:tab w:val="left" w:pos="525"/>
          <w:tab w:val="left" w:pos="630"/>
          <w:tab w:val="left" w:pos="1065"/>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4.慢性定量滤纸1盒</w:t>
      </w:r>
    </w:p>
    <w:p w14:paraId="04FA92B4">
      <w:pPr>
        <w:keepNext w:val="0"/>
        <w:keepLines w:val="0"/>
        <w:pageBreakBefore w:val="0"/>
        <w:widowControl w:val="0"/>
        <w:tabs>
          <w:tab w:val="left" w:pos="360"/>
          <w:tab w:val="left" w:pos="525"/>
          <w:tab w:val="left" w:pos="630"/>
          <w:tab w:val="left" w:pos="1065"/>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5.漏斗架1套</w:t>
      </w:r>
    </w:p>
    <w:p w14:paraId="71895D53">
      <w:pPr>
        <w:keepNext w:val="0"/>
        <w:keepLines w:val="0"/>
        <w:pageBreakBefore w:val="0"/>
        <w:widowControl w:val="0"/>
        <w:tabs>
          <w:tab w:val="left" w:pos="360"/>
          <w:tab w:val="left" w:pos="525"/>
          <w:tab w:val="left" w:pos="630"/>
          <w:tab w:val="left" w:pos="1065"/>
        </w:tabs>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6.烧杯架1套</w:t>
      </w:r>
      <w:bookmarkEnd w:id="96"/>
    </w:p>
    <w:p w14:paraId="3B71335B">
      <w:pPr>
        <w:keepNext w:val="0"/>
        <w:keepLines w:val="0"/>
        <w:pageBreakBefore w:val="0"/>
        <w:widowControl w:val="0"/>
        <w:tabs>
          <w:tab w:val="left" w:pos="1428"/>
          <w:tab w:val="left" w:pos="1590"/>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000000"/>
          <w:kern w:val="2"/>
          <w:sz w:val="24"/>
          <w:szCs w:val="24"/>
          <w:lang w:val="en-US" w:eastAsia="zh-CN"/>
        </w:rPr>
      </w:pPr>
      <w:r>
        <w:rPr>
          <w:rFonts w:hint="eastAsia" w:ascii="宋体" w:hAnsi="宋体" w:eastAsia="宋体" w:cs="宋体"/>
          <w:snapToGrid/>
          <w:color w:val="000000"/>
          <w:kern w:val="2"/>
          <w:sz w:val="24"/>
          <w:szCs w:val="24"/>
          <w:lang w:val="en-US" w:eastAsia="zh-CN"/>
        </w:rPr>
        <w:t>四、售后服务</w:t>
      </w:r>
    </w:p>
    <w:p w14:paraId="4A05D807">
      <w:pPr>
        <w:pStyle w:val="2"/>
        <w:keepNext w:val="0"/>
        <w:keepLines w:val="0"/>
        <w:pageBreakBefore w:val="0"/>
        <w:wordWrap/>
        <w:overflowPunct/>
        <w:topLinePunct w:val="0"/>
        <w:bidi w:val="0"/>
        <w:spacing w:line="360" w:lineRule="auto"/>
        <w:ind w:firstLine="480" w:firstLineChars="200"/>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整机免费保修</w:t>
      </w:r>
      <w:r>
        <w:rPr>
          <w:rFonts w:hint="eastAsia" w:ascii="宋体" w:hAnsi="宋体" w:eastAsia="宋体" w:cs="宋体"/>
          <w:snapToGrid/>
          <w:color w:val="000000"/>
          <w:kern w:val="2"/>
          <w:sz w:val="24"/>
          <w:szCs w:val="24"/>
          <w:lang w:val="en-US" w:eastAsia="zh-CN"/>
        </w:rPr>
        <w:t>至少</w:t>
      </w:r>
      <w:r>
        <w:rPr>
          <w:rFonts w:hint="eastAsia" w:ascii="宋体" w:hAnsi="宋体" w:eastAsia="宋体" w:cs="宋体"/>
          <w:snapToGrid/>
          <w:color w:val="000000"/>
          <w:kern w:val="2"/>
          <w:sz w:val="24"/>
          <w:szCs w:val="24"/>
          <w:lang w:eastAsia="zh-CN"/>
        </w:rPr>
        <w:t>2年。实验室参加质控考核、能力验证时，厂家工程师上门协助仪器调试、方法确认、检测支持，确保考核通过。免费上门安装、调试、培训。</w:t>
      </w:r>
    </w:p>
    <w:p w14:paraId="0C84A70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b/>
          <w:bCs/>
          <w:snapToGrid/>
          <w:kern w:val="2"/>
          <w:sz w:val="28"/>
          <w:szCs w:val="28"/>
          <w:lang w:val="en-US" w:eastAsia="zh-CN"/>
        </w:rPr>
      </w:pPr>
      <w:bookmarkStart w:id="97" w:name="_Toc27748"/>
      <w:bookmarkStart w:id="98" w:name="_Toc31360"/>
      <w:r>
        <w:rPr>
          <w:rFonts w:hint="eastAsia" w:ascii="宋体" w:hAnsi="宋体" w:eastAsia="宋体" w:cs="宋体"/>
          <w:b/>
          <w:bCs/>
          <w:snapToGrid/>
          <w:kern w:val="2"/>
          <w:sz w:val="28"/>
          <w:szCs w:val="28"/>
          <w:lang w:val="en-US" w:eastAsia="zh-CN"/>
        </w:rPr>
        <w:t>4.全自动流动注射分析仪</w:t>
      </w:r>
      <w:bookmarkEnd w:id="97"/>
      <w:bookmarkEnd w:id="98"/>
    </w:p>
    <w:p w14:paraId="21BC4F01">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一、仪器原理</w:t>
      </w:r>
    </w:p>
    <w:p w14:paraId="5BFBC64E">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仪器基于流动注射分析（FIA）的基本原理，试剂在封闭的管路中连续流动，一定体积的样品通过样品注入阀注入载流，载流携带样品在封闭的编结反应器与试剂混合，形成具有一定吸光度的混合物，流过光度检测器，形成检测峰形。样品与样品之间，样品与试剂之间，无需加入气泡，无需达到物理混合和化学反应平衡状态即可重复测定，实现快速准确地分析。</w:t>
      </w:r>
    </w:p>
    <w:p w14:paraId="7B024F2B">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二、仪器用途</w:t>
      </w:r>
    </w:p>
    <w:p w14:paraId="6805CE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用于测定地表水、地下水、饮用水、环境水中的氰化物、</w:t>
      </w:r>
      <w:r>
        <w:rPr>
          <w:rFonts w:hint="eastAsia" w:ascii="宋体" w:hAnsi="宋体" w:eastAsia="宋体" w:cs="宋体"/>
          <w:snapToGrid/>
          <w:kern w:val="2"/>
          <w:sz w:val="24"/>
          <w:szCs w:val="24"/>
          <w:lang w:eastAsia="zh-CN"/>
        </w:rPr>
        <w:t>氨氮、</w:t>
      </w:r>
      <w:r>
        <w:rPr>
          <w:rFonts w:hint="eastAsia" w:ascii="宋体" w:hAnsi="宋体" w:eastAsia="宋体" w:cs="宋体"/>
          <w:b w:val="0"/>
          <w:snapToGrid/>
          <w:kern w:val="2"/>
          <w:sz w:val="24"/>
          <w:szCs w:val="24"/>
          <w:lang w:val="en-US" w:eastAsia="zh-CN" w:bidi="ar-SA"/>
        </w:rPr>
        <w:t>六价铬等成分。</w:t>
      </w:r>
      <w:r>
        <w:rPr>
          <w:rFonts w:hint="eastAsia" w:ascii="宋体" w:hAnsi="宋体" w:eastAsia="宋体" w:cs="宋体"/>
          <w:snapToGrid/>
          <w:kern w:val="2"/>
          <w:sz w:val="24"/>
          <w:szCs w:val="24"/>
          <w:lang w:eastAsia="zh-CN"/>
        </w:rPr>
        <w:t>六价铬：GB/T 5750.6《生活饮用水标准检验方法金属指标》第13部分二苯碳酰二肼分光光度法，氨氮：GB/T 5750.5《生活饮用水标准检验方法无机非金属指标》第11部分</w:t>
      </w:r>
      <w:r>
        <w:rPr>
          <w:rFonts w:hint="eastAsia" w:ascii="宋体" w:hAnsi="宋体" w:eastAsia="宋体" w:cs="宋体"/>
          <w:snapToGrid/>
          <w:kern w:val="2"/>
          <w:sz w:val="24"/>
          <w:szCs w:val="24"/>
          <w:lang w:val="en-US" w:eastAsia="zh-CN"/>
        </w:rPr>
        <w:t>流动注射</w:t>
      </w:r>
      <w:r>
        <w:rPr>
          <w:rFonts w:hint="eastAsia" w:ascii="宋体" w:hAnsi="宋体" w:eastAsia="宋体" w:cs="宋体"/>
          <w:snapToGrid/>
          <w:kern w:val="2"/>
          <w:sz w:val="24"/>
          <w:szCs w:val="24"/>
          <w:lang w:eastAsia="zh-CN"/>
        </w:rPr>
        <w:t>法。</w:t>
      </w:r>
    </w:p>
    <w:p w14:paraId="59AD8FCF">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三、工作条件</w:t>
      </w:r>
    </w:p>
    <w:p w14:paraId="6B6DA849">
      <w:pPr>
        <w:pStyle w:val="7"/>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环境温度：10—40℃；电源供给：220VAC，50HZ；相对湿度：25%—85%。</w:t>
      </w:r>
    </w:p>
    <w:p w14:paraId="0F766997">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四、配置要求</w:t>
      </w:r>
    </w:p>
    <w:p w14:paraId="0E40E10F">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snapToGrid/>
          <w:kern w:val="0"/>
          <w:sz w:val="24"/>
          <w:szCs w:val="24"/>
        </w:rPr>
        <w:t>★</w:t>
      </w:r>
      <w:r>
        <w:rPr>
          <w:rFonts w:hint="eastAsia" w:ascii="宋体" w:hAnsi="宋体" w:eastAsia="宋体" w:cs="宋体"/>
          <w:b w:val="0"/>
          <w:snapToGrid/>
          <w:kern w:val="2"/>
          <w:sz w:val="24"/>
          <w:szCs w:val="24"/>
          <w:lang w:val="en-US" w:eastAsia="zh-CN" w:bidi="ar-SA"/>
        </w:rPr>
        <w:t>1.仪器组成：全自动流动注射分析仪通道为</w:t>
      </w:r>
      <w:bookmarkStart w:id="99" w:name="_Hlk163461771"/>
      <w:r>
        <w:rPr>
          <w:rFonts w:hint="eastAsia" w:ascii="宋体" w:hAnsi="宋体" w:eastAsia="宋体" w:cs="宋体"/>
          <w:b w:val="0"/>
          <w:snapToGrid/>
          <w:kern w:val="2"/>
          <w:sz w:val="24"/>
          <w:szCs w:val="24"/>
          <w:lang w:val="en-US" w:eastAsia="zh-CN" w:bidi="ar-SA"/>
        </w:rPr>
        <w:t>一体机</w:t>
      </w:r>
      <w:bookmarkEnd w:id="99"/>
      <w:r>
        <w:rPr>
          <w:rFonts w:hint="eastAsia" w:ascii="宋体" w:hAnsi="宋体" w:eastAsia="宋体" w:cs="宋体"/>
          <w:b w:val="0"/>
          <w:snapToGrid/>
          <w:kern w:val="2"/>
          <w:sz w:val="24"/>
          <w:szCs w:val="24"/>
          <w:lang w:val="en-US" w:eastAsia="zh-CN" w:bidi="ar-SA"/>
        </w:rPr>
        <w:t>集成整体式设计，可配置1-16个通道同时分析（每个通道内嵌一个自动进样装置，一个蠕动泵，一套化学分析流路，一个双光束检测器及与化学分析流路配套的温度控制器、控制电路装置等），分析通道与进样器装置为不可拆分一体式，各通道间除工作站软件外无共用装置，每个方法可以同时放在不同实验室使用。</w:t>
      </w:r>
    </w:p>
    <w:p w14:paraId="74193163">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snapToGrid/>
          <w:kern w:val="0"/>
          <w:sz w:val="24"/>
          <w:szCs w:val="24"/>
        </w:rPr>
        <w:t>★</w:t>
      </w:r>
      <w:r>
        <w:rPr>
          <w:rFonts w:hint="eastAsia" w:ascii="宋体" w:hAnsi="宋体" w:eastAsia="宋体" w:cs="宋体"/>
          <w:b w:val="0"/>
          <w:snapToGrid/>
          <w:kern w:val="2"/>
          <w:sz w:val="24"/>
          <w:szCs w:val="24"/>
          <w:lang w:val="en-US" w:eastAsia="zh-CN" w:bidi="ar-SA"/>
        </w:rPr>
        <w:t>2.流动注射自动进样装置的控制系统（含电路板等核心组件）采用内置集成设计，并非独立外接模块，整体集成于主机内部。（提供仪器内部实物照片）</w:t>
      </w:r>
    </w:p>
    <w:p w14:paraId="2C2CE34B">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3.仪器一体机集成整体化设计，由于实验室场地限制和应急任务需求，优先考虑尺寸较小的仪器（提供由制造商盖章确认的该仪器整体结构图片。</w:t>
      </w:r>
    </w:p>
    <w:p w14:paraId="61E15D53">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4.蠕动泵、化学反应模块、检测器一一对应，用户检测不同项目无需做任何改动；所有需要加热蒸馏的模块均配备独立蒸馏器，所有需要紫外消解的模块均配备独立消解装置。</w:t>
      </w:r>
    </w:p>
    <w:p w14:paraId="749BB1E6">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5.仪器进样模式：蠕动泵采用整体压块进样，提高进样量精准和人工误差，淘汰使用多个塑料泵夹中单个泵夹压力上的不均匀，导致进样量不精准缺点。</w:t>
      </w:r>
    </w:p>
    <w:p w14:paraId="432C678B">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snapToGrid/>
          <w:kern w:val="0"/>
          <w:sz w:val="24"/>
          <w:szCs w:val="24"/>
        </w:rPr>
        <w:t>★</w:t>
      </w:r>
      <w:r>
        <w:rPr>
          <w:rFonts w:hint="eastAsia" w:ascii="宋体" w:hAnsi="宋体" w:eastAsia="宋体" w:cs="宋体"/>
          <w:b w:val="0"/>
          <w:snapToGrid/>
          <w:kern w:val="2"/>
          <w:sz w:val="24"/>
          <w:szCs w:val="24"/>
          <w:lang w:val="en-US" w:eastAsia="zh-CN" w:bidi="ar-SA"/>
        </w:rPr>
        <w:t>6.该仪器配套的化学流路元件都固定在化学流路板上，有利于观察化学反应情况和废液的集中收集，避免废液腐蚀。（提供真机照片和化学流路面板）</w:t>
      </w:r>
    </w:p>
    <w:p w14:paraId="75F81F5B">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7.该仪器配套的化学分析管路为FEP全化学惰性透明管理,无需气泡生成及消除装置。</w:t>
      </w:r>
    </w:p>
    <w:p w14:paraId="7A4301DF">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8.通道配置内置恒温加热器，温度通过软件控制实时监测，使化学反应温度为最佳反应温度，温度控制区间为室温到100-220℃，温度精度0.1℃，数字显示。</w:t>
      </w:r>
    </w:p>
    <w:p w14:paraId="5FA7C432">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9.每个分析通道可实现量程切换功能，能满足高低浓度样品的切换。</w:t>
      </w:r>
    </w:p>
    <w:p w14:paraId="77AF610B">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10.每个通道都包括一个自动进样装置，每个自动进样装置包括大于60个位置，其中含载流位置和样品位。载流不但携带样品与试剂混合，还可起到清洁样品输送管路的作用，在不同的样品之间泵入载流，可清洗取样针、完全避免样品滞留引起交叉污染。配备多个自动进样装置，可自由实现多参数的同时测定。自动进样器的吸样量0.1~10ml，进样精度≤1%。</w:t>
      </w:r>
    </w:p>
    <w:p w14:paraId="5FA7CE57">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11.检测器为双光束设计，通过窄带滤光片分光，不同的系列分析仪可以使用相同的滤光片，也可使用不同的滤光片，滤光片更换方便。检测器使用400-1100nm的卤钨灯作为光源。</w:t>
      </w:r>
    </w:p>
    <w:p w14:paraId="3EA3026E">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12.全中文操作软件及帮助文件，可在windows的操作系统工作，可同时显示所有同系列分析仪的实时谱图及过往图谱，可一边进行测试一边进行以往数据的查看及处理。</w:t>
      </w:r>
    </w:p>
    <w:p w14:paraId="38D5AB04">
      <w:pPr>
        <w:pStyle w:val="7"/>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13.具有配套的中文方法手册，详细说明该分析仪的方法原理，应用领域，试剂配制方法，操作程序及详细列举工作曲线、检出限、精密度等指标的测试数据及图谱。</w:t>
      </w:r>
    </w:p>
    <w:p w14:paraId="7D0D27DD">
      <w:pPr>
        <w:pStyle w:val="7"/>
        <w:keepNext w:val="0"/>
        <w:keepLines w:val="0"/>
        <w:pageBreakBefore w:val="0"/>
        <w:widowControl w:val="0"/>
        <w:numPr>
          <w:ilvl w:val="0"/>
          <w:numId w:val="0"/>
        </w:numPr>
        <w:tabs>
          <w:tab w:val="left" w:pos="426"/>
        </w:tabs>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五、仪器性能技术指标：</w:t>
      </w:r>
    </w:p>
    <w:p w14:paraId="6559A4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1.氨氮技术指标</w:t>
      </w:r>
    </w:p>
    <w:p w14:paraId="54A906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color w:val="auto"/>
          <w:kern w:val="2"/>
          <w:sz w:val="24"/>
          <w:szCs w:val="24"/>
          <w:lang w:val="en-US" w:eastAsia="zh-CN" w:bidi="ar-SA"/>
        </w:rPr>
      </w:pPr>
      <w:r>
        <w:rPr>
          <w:rFonts w:hint="eastAsia" w:ascii="宋体" w:hAnsi="宋体" w:eastAsia="宋体" w:cs="宋体"/>
          <w:b w:val="0"/>
          <w:snapToGrid/>
          <w:color w:val="auto"/>
          <w:kern w:val="2"/>
          <w:sz w:val="24"/>
          <w:szCs w:val="24"/>
          <w:lang w:val="en-US" w:eastAsia="zh-CN" w:bidi="ar-SA"/>
        </w:rPr>
        <w:t>方法原理：水杨酸光度法</w:t>
      </w:r>
    </w:p>
    <w:p w14:paraId="47585D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color w:val="auto"/>
          <w:kern w:val="2"/>
          <w:sz w:val="24"/>
          <w:szCs w:val="24"/>
          <w:lang w:val="en-US" w:eastAsia="zh-CN" w:bidi="ar-SA"/>
        </w:rPr>
      </w:pPr>
      <w:r>
        <w:rPr>
          <w:rFonts w:hint="eastAsia" w:ascii="宋体" w:hAnsi="宋体" w:eastAsia="宋体" w:cs="宋体"/>
          <w:b w:val="0"/>
          <w:snapToGrid/>
          <w:color w:val="auto"/>
          <w:kern w:val="2"/>
          <w:sz w:val="24"/>
          <w:szCs w:val="24"/>
          <w:lang w:val="en-US" w:eastAsia="zh-CN" w:bidi="ar-SA"/>
        </w:rPr>
        <w:t>线性范围：0.01~5.0mg/L</w:t>
      </w:r>
    </w:p>
    <w:p w14:paraId="7D65CE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color w:val="auto"/>
          <w:kern w:val="2"/>
          <w:sz w:val="24"/>
          <w:szCs w:val="24"/>
          <w:lang w:val="en-US" w:eastAsia="zh-CN" w:bidi="ar-SA"/>
        </w:rPr>
      </w:pPr>
      <w:r>
        <w:rPr>
          <w:rFonts w:hint="eastAsia" w:ascii="宋体" w:hAnsi="宋体" w:eastAsia="宋体" w:cs="宋体"/>
          <w:b w:val="0"/>
          <w:snapToGrid/>
          <w:color w:val="auto"/>
          <w:kern w:val="2"/>
          <w:sz w:val="24"/>
          <w:szCs w:val="24"/>
          <w:lang w:val="en-US" w:eastAsia="zh-CN" w:bidi="ar-SA"/>
        </w:rPr>
        <w:t>检出限：≤0.005mg/L</w:t>
      </w:r>
    </w:p>
    <w:p w14:paraId="2B890F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样品分析频率：30样/小时</w:t>
      </w:r>
    </w:p>
    <w:p w14:paraId="745705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 xml:space="preserve">精密度：≤1% </w:t>
      </w:r>
    </w:p>
    <w:p w14:paraId="514F0F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2.六价铬技术指标</w:t>
      </w:r>
    </w:p>
    <w:p w14:paraId="13CF5F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方法原理：二苯碳酰二肼光度法</w:t>
      </w:r>
    </w:p>
    <w:p w14:paraId="487A53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线性范围：0.002 -1.0mg/L</w:t>
      </w:r>
    </w:p>
    <w:p w14:paraId="4AADA8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检出限：&lt; 0.0005mg/L</w:t>
      </w:r>
    </w:p>
    <w:p w14:paraId="70C5A4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样品分析频率：20样/小时</w:t>
      </w:r>
    </w:p>
    <w:p w14:paraId="7E9A9D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精密度：≤1%</w:t>
      </w:r>
    </w:p>
    <w:p w14:paraId="1EDE11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六、设备配置清单</w:t>
      </w:r>
    </w:p>
    <w:p w14:paraId="2B5931B2">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1.全自动氨氮分析通道                   1台</w:t>
      </w:r>
    </w:p>
    <w:p w14:paraId="3A5AD6B6">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2.全自动六价铬分析通道                 1台</w:t>
      </w:r>
    </w:p>
    <w:p w14:paraId="4D274F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3.备件                                 1套</w:t>
      </w:r>
    </w:p>
    <w:p w14:paraId="5E005E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4.</w:t>
      </w:r>
      <w:r>
        <w:rPr>
          <w:rFonts w:hint="eastAsia" w:ascii="宋体" w:hAnsi="宋体" w:eastAsia="宋体" w:cs="宋体"/>
          <w:snapToGrid/>
          <w:kern w:val="2"/>
          <w:sz w:val="24"/>
          <w:szCs w:val="24"/>
          <w:lang w:eastAsia="zh-CN"/>
        </w:rPr>
        <w:t>试剂包</w:t>
      </w:r>
      <w:r>
        <w:rPr>
          <w:rFonts w:hint="eastAsia" w:ascii="宋体" w:hAnsi="宋体" w:eastAsia="宋体" w:cs="宋体"/>
          <w:snapToGrid/>
          <w:kern w:val="2"/>
          <w:sz w:val="24"/>
          <w:szCs w:val="24"/>
          <w:lang w:val="en-US" w:eastAsia="zh-CN"/>
        </w:rPr>
        <w:t xml:space="preserve">   </w:t>
      </w:r>
      <w:r>
        <w:rPr>
          <w:rFonts w:hint="eastAsia" w:ascii="宋体" w:hAnsi="宋体" w:eastAsia="宋体" w:cs="宋体"/>
          <w:snapToGrid/>
          <w:kern w:val="2"/>
          <w:sz w:val="24"/>
          <w:szCs w:val="24"/>
          <w:lang w:eastAsia="zh-CN"/>
        </w:rPr>
        <w:t xml:space="preserve">            </w:t>
      </w:r>
      <w:r>
        <w:rPr>
          <w:rFonts w:hint="eastAsia" w:ascii="宋体" w:hAnsi="宋体" w:eastAsia="宋体" w:cs="宋体"/>
          <w:snapToGrid/>
          <w:kern w:val="2"/>
          <w:sz w:val="24"/>
          <w:szCs w:val="24"/>
          <w:lang w:val="en-US" w:eastAsia="zh-CN"/>
        </w:rPr>
        <w:t xml:space="preserve"> </w:t>
      </w:r>
      <w:r>
        <w:rPr>
          <w:rFonts w:hint="eastAsia" w:ascii="宋体" w:hAnsi="宋体" w:eastAsia="宋体" w:cs="宋体"/>
          <w:snapToGrid/>
          <w:kern w:val="2"/>
          <w:sz w:val="24"/>
          <w:szCs w:val="24"/>
          <w:lang w:eastAsia="zh-CN"/>
        </w:rPr>
        <w:t xml:space="preserve">   </w:t>
      </w:r>
      <w:r>
        <w:rPr>
          <w:rFonts w:hint="eastAsia" w:ascii="宋体" w:hAnsi="宋体" w:eastAsia="宋体" w:cs="宋体"/>
          <w:snapToGrid/>
          <w:kern w:val="2"/>
          <w:sz w:val="24"/>
          <w:szCs w:val="24"/>
          <w:lang w:val="en-US" w:eastAsia="zh-CN"/>
        </w:rPr>
        <w:t xml:space="preserve">            2</w:t>
      </w:r>
      <w:r>
        <w:rPr>
          <w:rFonts w:hint="eastAsia" w:ascii="宋体" w:hAnsi="宋体" w:eastAsia="宋体" w:cs="宋体"/>
          <w:snapToGrid/>
          <w:kern w:val="2"/>
          <w:sz w:val="24"/>
          <w:szCs w:val="24"/>
          <w:lang w:eastAsia="zh-CN"/>
        </w:rPr>
        <w:t>套</w:t>
      </w:r>
    </w:p>
    <w:p w14:paraId="172063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snapToGrid/>
          <w:kern w:val="2"/>
          <w:sz w:val="24"/>
          <w:szCs w:val="24"/>
          <w:lang w:val="en-US" w:eastAsia="zh-CN" w:bidi="ar-SA"/>
        </w:rPr>
      </w:pPr>
      <w:r>
        <w:rPr>
          <w:rFonts w:hint="eastAsia" w:ascii="宋体" w:hAnsi="宋体" w:eastAsia="宋体" w:cs="宋体"/>
          <w:b w:val="0"/>
          <w:snapToGrid/>
          <w:kern w:val="2"/>
          <w:sz w:val="24"/>
          <w:szCs w:val="24"/>
          <w:lang w:val="en-US" w:eastAsia="zh-CN" w:bidi="ar-SA"/>
        </w:rPr>
        <w:t>七、售后服务</w:t>
      </w:r>
    </w:p>
    <w:p w14:paraId="65148415">
      <w:pPr>
        <w:pStyle w:val="2"/>
        <w:keepNext w:val="0"/>
        <w:keepLines w:val="0"/>
        <w:pageBreakBefore w:val="0"/>
        <w:wordWrap/>
        <w:overflowPunct/>
        <w:topLinePunct w:val="0"/>
        <w:bidi w:val="0"/>
        <w:spacing w:line="360" w:lineRule="auto"/>
        <w:ind w:firstLine="480" w:firstLineChars="200"/>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整机免费保修 ≥2年；参加上级质控考核、能力验证时，厂家工程师上门协助仪器调试、方法验证、检测支持，确保考核通过；免费上门安装、调试、培训。</w:t>
      </w:r>
    </w:p>
    <w:p w14:paraId="343E369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b/>
          <w:bCs/>
          <w:snapToGrid/>
          <w:kern w:val="2"/>
          <w:sz w:val="28"/>
          <w:szCs w:val="28"/>
          <w:lang w:val="en-US" w:eastAsia="zh-CN"/>
        </w:rPr>
      </w:pPr>
      <w:bookmarkStart w:id="100" w:name="_Toc19018"/>
      <w:bookmarkStart w:id="101" w:name="_Toc31681"/>
      <w:r>
        <w:rPr>
          <w:rFonts w:hint="eastAsia" w:ascii="宋体" w:hAnsi="宋体" w:eastAsia="宋体" w:cs="宋体"/>
          <w:b/>
          <w:bCs/>
          <w:snapToGrid/>
          <w:kern w:val="2"/>
          <w:sz w:val="28"/>
          <w:szCs w:val="28"/>
          <w:lang w:val="en-US" w:eastAsia="zh-CN"/>
        </w:rPr>
        <w:t>5.全自动核酸处理仪</w:t>
      </w:r>
      <w:bookmarkEnd w:id="100"/>
      <w:bookmarkEnd w:id="101"/>
    </w:p>
    <w:p w14:paraId="3F8404DC">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一、仪器用途</w:t>
      </w:r>
    </w:p>
    <w:p w14:paraId="52188B9D">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能够从痰液或痰沉淀标本中快速鉴别结核分枝杆菌及利福平耐药基因,从血浆中快速定量检测HIV-1病毒载量，能够从血浆或血清中快速定量检测HBV病毒载量及HCV病毒载量，还可以进行产毒艰难梭菌、碳青霉烯耐药、金黄色葡萄球菌耐药、流感病毒的等病原微生物相关检测；以上项目均获得国家药品监督管理总局（NMPA）的认证</w:t>
      </w:r>
      <w:r>
        <w:rPr>
          <w:rFonts w:hint="eastAsia" w:ascii="宋体" w:hAnsi="宋体" w:eastAsia="宋体" w:cs="宋体"/>
          <w:bCs/>
          <w:snapToGrid/>
          <w:spacing w:val="4"/>
          <w:kern w:val="10"/>
          <w:sz w:val="24"/>
          <w:szCs w:val="24"/>
          <w:highlight w:val="none"/>
          <w:lang w:val="en-US" w:eastAsia="zh-CN"/>
        </w:rPr>
        <w:t>。</w:t>
      </w:r>
    </w:p>
    <w:p w14:paraId="7C260FCA">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val="en-US" w:eastAsia="zh-CN"/>
        </w:rPr>
        <w:t>二</w:t>
      </w:r>
      <w:r>
        <w:rPr>
          <w:rFonts w:hint="eastAsia" w:ascii="宋体" w:hAnsi="宋体" w:eastAsia="宋体" w:cs="宋体"/>
          <w:bCs/>
          <w:snapToGrid/>
          <w:spacing w:val="4"/>
          <w:kern w:val="10"/>
          <w:sz w:val="24"/>
          <w:szCs w:val="24"/>
          <w:highlight w:val="none"/>
          <w:lang w:eastAsia="zh-CN"/>
        </w:rPr>
        <w:t>、技术参数</w:t>
      </w:r>
    </w:p>
    <w:p w14:paraId="78FE5212">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1.检测原理：实时聚合酶链式反应(PCR)对样本进行定量或定性分析；荧光色数</w:t>
      </w:r>
      <w:r>
        <w:rPr>
          <w:rFonts w:hint="eastAsia" w:ascii="宋体" w:hAnsi="宋体" w:eastAsia="宋体" w:cs="宋体"/>
          <w:bCs/>
          <w:snapToGrid/>
          <w:spacing w:val="4"/>
          <w:kern w:val="10"/>
          <w:sz w:val="24"/>
          <w:szCs w:val="24"/>
          <w:highlight w:val="none"/>
          <w:lang w:val="en-US" w:eastAsia="zh-CN"/>
        </w:rPr>
        <w:t>≥</w:t>
      </w:r>
      <w:r>
        <w:rPr>
          <w:rFonts w:hint="eastAsia" w:ascii="宋体" w:hAnsi="宋体" w:eastAsia="宋体" w:cs="宋体"/>
          <w:bCs/>
          <w:snapToGrid/>
          <w:spacing w:val="4"/>
          <w:kern w:val="10"/>
          <w:sz w:val="24"/>
          <w:szCs w:val="24"/>
          <w:highlight w:val="none"/>
          <w:lang w:eastAsia="zh-CN"/>
        </w:rPr>
        <w:t>6种；荧光染料浓度检测下限&lt;1nM；采用巢式实时荧光定量PCR法，适配</w:t>
      </w:r>
      <w:r>
        <w:rPr>
          <w:rFonts w:hint="eastAsia" w:ascii="宋体" w:hAnsi="宋体" w:eastAsia="宋体" w:cs="宋体"/>
          <w:bCs/>
          <w:snapToGrid/>
          <w:spacing w:val="4"/>
          <w:kern w:val="10"/>
          <w:sz w:val="24"/>
          <w:szCs w:val="24"/>
          <w:highlight w:val="none"/>
          <w:lang w:val="en-US" w:eastAsia="zh-CN"/>
        </w:rPr>
        <w:t>相关</w:t>
      </w:r>
      <w:r>
        <w:rPr>
          <w:rFonts w:hint="eastAsia" w:ascii="宋体" w:hAnsi="宋体" w:eastAsia="宋体" w:cs="宋体"/>
          <w:bCs/>
          <w:snapToGrid/>
          <w:spacing w:val="4"/>
          <w:kern w:val="10"/>
          <w:sz w:val="24"/>
          <w:szCs w:val="24"/>
          <w:highlight w:val="none"/>
          <w:lang w:eastAsia="zh-CN"/>
        </w:rPr>
        <w:t>试剂盒，同步检测结核分枝杆菌（MTB）及利福平耐药基因。</w:t>
      </w:r>
    </w:p>
    <w:p w14:paraId="6A5F2E64">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2.通道配置：仪器独立处理单元数</w:t>
      </w:r>
      <w:r>
        <w:rPr>
          <w:rFonts w:hint="eastAsia" w:ascii="宋体" w:hAnsi="宋体" w:eastAsia="宋体" w:cs="宋体"/>
          <w:bCs/>
          <w:snapToGrid/>
          <w:spacing w:val="4"/>
          <w:kern w:val="10"/>
          <w:sz w:val="24"/>
          <w:szCs w:val="24"/>
          <w:highlight w:val="none"/>
          <w:lang w:val="en-US" w:eastAsia="zh-CN"/>
        </w:rPr>
        <w:t>≥</w:t>
      </w:r>
      <w:r>
        <w:rPr>
          <w:rFonts w:hint="eastAsia" w:ascii="宋体" w:hAnsi="宋体" w:eastAsia="宋体" w:cs="宋体"/>
          <w:bCs/>
          <w:snapToGrid/>
          <w:spacing w:val="4"/>
          <w:kern w:val="10"/>
          <w:sz w:val="24"/>
          <w:szCs w:val="24"/>
          <w:highlight w:val="none"/>
          <w:lang w:eastAsia="zh-CN"/>
        </w:rPr>
        <w:t>4个；可检测单个样本，对于不同核酸目标的检测可在同一台仪器内同时进行，且可同时进行不同项目检测实验；在通量范围内，可随时进行新增单个或多个样本及项目，可实现样本随到随做。</w:t>
      </w:r>
    </w:p>
    <w:p w14:paraId="3A7A93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val="en-US" w:eastAsia="zh-CN"/>
        </w:rPr>
        <w:t>3.</w:t>
      </w:r>
      <w:r>
        <w:rPr>
          <w:rFonts w:hint="eastAsia" w:ascii="宋体" w:hAnsi="宋体" w:eastAsia="宋体" w:cs="宋体"/>
          <w:bCs/>
          <w:snapToGrid/>
          <w:spacing w:val="4"/>
          <w:kern w:val="10"/>
          <w:sz w:val="24"/>
          <w:szCs w:val="24"/>
          <w:highlight w:val="none"/>
          <w:lang w:eastAsia="zh-CN"/>
        </w:rPr>
        <w:t>全流程自动化：系统能够直接从患者样本中提取核酸，处理单元自动将提取出的核酸应用于核酸扩增和检测的后续步骤。以上的三个步骤(核酸提取、扩增和检测)在获得最终结果前无需人工操作</w:t>
      </w:r>
      <w:r>
        <w:rPr>
          <w:rFonts w:hint="eastAsia" w:ascii="宋体" w:hAnsi="宋体" w:eastAsia="宋体" w:cs="宋体"/>
          <w:bCs/>
          <w:snapToGrid/>
          <w:spacing w:val="4"/>
          <w:kern w:val="10"/>
          <w:sz w:val="24"/>
          <w:szCs w:val="24"/>
          <w:highlight w:val="none"/>
          <w:lang w:val="en-US" w:eastAsia="zh-CN"/>
        </w:rPr>
        <w:t>；</w:t>
      </w:r>
    </w:p>
    <w:p w14:paraId="62216EFD">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val="en-US" w:eastAsia="zh-CN"/>
        </w:rPr>
        <w:t>4</w:t>
      </w:r>
      <w:r>
        <w:rPr>
          <w:rFonts w:hint="eastAsia" w:ascii="宋体" w:hAnsi="宋体" w:eastAsia="宋体" w:cs="宋体"/>
          <w:bCs/>
          <w:snapToGrid/>
          <w:spacing w:val="4"/>
          <w:kern w:val="10"/>
          <w:sz w:val="24"/>
          <w:szCs w:val="24"/>
          <w:highlight w:val="none"/>
          <w:lang w:eastAsia="zh-CN"/>
        </w:rPr>
        <w:t>.温控性能：</w:t>
      </w:r>
    </w:p>
    <w:p w14:paraId="08A43550">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加热速率（最大）：从50℃到95℃≥10℃/秒</w:t>
      </w:r>
    </w:p>
    <w:p w14:paraId="126475CD">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冷却速率（最大）：从95℃到50℃≥2.5℃/秒</w:t>
      </w:r>
    </w:p>
    <w:p w14:paraId="2D307AEC">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温度维持时间准确度：±1.0秒；</w:t>
      </w:r>
    </w:p>
    <w:p w14:paraId="2A2F0E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val="en-US" w:eastAsia="zh-CN"/>
        </w:rPr>
        <w:t>5.</w:t>
      </w:r>
      <w:r>
        <w:rPr>
          <w:rFonts w:hint="eastAsia" w:ascii="宋体" w:hAnsi="宋体" w:eastAsia="宋体" w:cs="宋体"/>
          <w:bCs/>
          <w:snapToGrid/>
          <w:spacing w:val="4"/>
          <w:kern w:val="10"/>
          <w:sz w:val="24"/>
          <w:szCs w:val="24"/>
          <w:highlight w:val="none"/>
          <w:lang w:eastAsia="zh-CN"/>
        </w:rPr>
        <w:t>定量项目检测灵敏度及线性范围</w:t>
      </w:r>
    </w:p>
    <w:p w14:paraId="61C425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HBV-DNA：检测下限≤</w:t>
      </w:r>
      <w:r>
        <w:rPr>
          <w:rFonts w:hint="eastAsia" w:ascii="宋体" w:hAnsi="宋体" w:eastAsia="宋体" w:cs="宋体"/>
          <w:bCs/>
          <w:snapToGrid/>
          <w:spacing w:val="4"/>
          <w:kern w:val="10"/>
          <w:sz w:val="24"/>
          <w:szCs w:val="24"/>
          <w:highlight w:val="none"/>
          <w:lang w:val="en-US" w:eastAsia="zh-CN"/>
        </w:rPr>
        <w:t>5</w:t>
      </w:r>
      <w:r>
        <w:rPr>
          <w:rFonts w:hint="eastAsia" w:ascii="宋体" w:hAnsi="宋体" w:eastAsia="宋体" w:cs="宋体"/>
          <w:bCs/>
          <w:snapToGrid/>
          <w:spacing w:val="4"/>
          <w:kern w:val="10"/>
          <w:sz w:val="24"/>
          <w:szCs w:val="24"/>
          <w:highlight w:val="none"/>
          <w:lang w:eastAsia="zh-CN"/>
        </w:rPr>
        <w:t xml:space="preserve"> IU/ml，定量线性范围10-10</w:t>
      </w:r>
      <w:r>
        <w:rPr>
          <w:rFonts w:hint="eastAsia" w:ascii="宋体" w:hAnsi="宋体" w:eastAsia="宋体" w:cs="宋体"/>
          <w:bCs/>
          <w:snapToGrid/>
          <w:spacing w:val="4"/>
          <w:kern w:val="10"/>
          <w:sz w:val="24"/>
          <w:szCs w:val="24"/>
          <w:highlight w:val="none"/>
          <w:vertAlign w:val="superscript"/>
          <w:lang w:val="en-US" w:eastAsia="zh-CN"/>
        </w:rPr>
        <w:t>9</w:t>
      </w:r>
      <w:r>
        <w:rPr>
          <w:rFonts w:hint="eastAsia" w:ascii="宋体" w:hAnsi="宋体" w:eastAsia="宋体" w:cs="宋体"/>
          <w:bCs/>
          <w:snapToGrid/>
          <w:spacing w:val="4"/>
          <w:kern w:val="10"/>
          <w:sz w:val="24"/>
          <w:szCs w:val="24"/>
          <w:highlight w:val="none"/>
          <w:lang w:eastAsia="zh-CN"/>
        </w:rPr>
        <w:t>IU/ml；</w:t>
      </w:r>
    </w:p>
    <w:p w14:paraId="55553B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HCV-RNA：检测下限≤</w:t>
      </w:r>
      <w:r>
        <w:rPr>
          <w:rFonts w:hint="eastAsia" w:ascii="宋体" w:hAnsi="宋体" w:eastAsia="宋体" w:cs="宋体"/>
          <w:bCs/>
          <w:snapToGrid/>
          <w:spacing w:val="4"/>
          <w:kern w:val="10"/>
          <w:sz w:val="24"/>
          <w:szCs w:val="24"/>
          <w:highlight w:val="none"/>
          <w:lang w:val="en-US" w:eastAsia="zh-CN"/>
        </w:rPr>
        <w:t xml:space="preserve">15 </w:t>
      </w:r>
      <w:r>
        <w:rPr>
          <w:rFonts w:hint="eastAsia" w:ascii="宋体" w:hAnsi="宋体" w:eastAsia="宋体" w:cs="宋体"/>
          <w:bCs/>
          <w:snapToGrid/>
          <w:spacing w:val="4"/>
          <w:kern w:val="10"/>
          <w:sz w:val="24"/>
          <w:szCs w:val="24"/>
          <w:highlight w:val="none"/>
          <w:lang w:eastAsia="zh-CN"/>
        </w:rPr>
        <w:t>IU/ml，定量线性范围</w:t>
      </w:r>
      <w:r>
        <w:rPr>
          <w:rFonts w:hint="eastAsia" w:ascii="宋体" w:hAnsi="宋体" w:eastAsia="宋体" w:cs="宋体"/>
          <w:bCs/>
          <w:snapToGrid/>
          <w:spacing w:val="4"/>
          <w:kern w:val="10"/>
          <w:sz w:val="24"/>
          <w:szCs w:val="24"/>
          <w:highlight w:val="none"/>
          <w:lang w:val="en-US" w:eastAsia="zh-CN"/>
        </w:rPr>
        <w:t>2</w:t>
      </w:r>
      <w:r>
        <w:rPr>
          <w:rFonts w:hint="eastAsia" w:ascii="宋体" w:hAnsi="宋体" w:eastAsia="宋体" w:cs="宋体"/>
          <w:bCs/>
          <w:snapToGrid/>
          <w:spacing w:val="4"/>
          <w:kern w:val="10"/>
          <w:sz w:val="24"/>
          <w:szCs w:val="24"/>
          <w:highlight w:val="none"/>
          <w:lang w:eastAsia="zh-CN"/>
        </w:rPr>
        <w:t>0-10</w:t>
      </w:r>
      <w:r>
        <w:rPr>
          <w:rFonts w:hint="eastAsia" w:ascii="宋体" w:hAnsi="宋体" w:eastAsia="宋体" w:cs="宋体"/>
          <w:bCs/>
          <w:snapToGrid/>
          <w:spacing w:val="4"/>
          <w:kern w:val="10"/>
          <w:sz w:val="24"/>
          <w:szCs w:val="24"/>
          <w:highlight w:val="none"/>
          <w:vertAlign w:val="superscript"/>
          <w:lang w:eastAsia="zh-CN"/>
        </w:rPr>
        <w:t>8</w:t>
      </w:r>
      <w:r>
        <w:rPr>
          <w:rFonts w:hint="eastAsia" w:ascii="宋体" w:hAnsi="宋体" w:eastAsia="宋体" w:cs="宋体"/>
          <w:bCs/>
          <w:snapToGrid/>
          <w:spacing w:val="4"/>
          <w:kern w:val="10"/>
          <w:sz w:val="24"/>
          <w:szCs w:val="24"/>
          <w:highlight w:val="none"/>
          <w:lang w:eastAsia="zh-CN"/>
        </w:rPr>
        <w:t>IU/ml；</w:t>
      </w:r>
    </w:p>
    <w:p w14:paraId="00D0C8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HIV-1 RNA：检测下限≤</w:t>
      </w:r>
      <w:r>
        <w:rPr>
          <w:rFonts w:hint="eastAsia" w:ascii="宋体" w:hAnsi="宋体" w:eastAsia="宋体" w:cs="宋体"/>
          <w:bCs/>
          <w:snapToGrid/>
          <w:spacing w:val="4"/>
          <w:kern w:val="10"/>
          <w:sz w:val="24"/>
          <w:szCs w:val="24"/>
          <w:highlight w:val="none"/>
          <w:lang w:val="en-US" w:eastAsia="zh-CN"/>
        </w:rPr>
        <w:t xml:space="preserve">20 </w:t>
      </w:r>
      <w:r>
        <w:rPr>
          <w:rFonts w:hint="eastAsia" w:ascii="宋体" w:hAnsi="宋体" w:eastAsia="宋体" w:cs="宋体"/>
          <w:bCs/>
          <w:snapToGrid/>
          <w:spacing w:val="4"/>
          <w:kern w:val="10"/>
          <w:sz w:val="24"/>
          <w:szCs w:val="24"/>
          <w:highlight w:val="none"/>
          <w:lang w:eastAsia="zh-CN"/>
        </w:rPr>
        <w:t>copies/ml，定量线性范围40-10</w:t>
      </w:r>
      <w:r>
        <w:rPr>
          <w:rFonts w:hint="eastAsia" w:ascii="宋体" w:hAnsi="宋体" w:eastAsia="宋体" w:cs="宋体"/>
          <w:bCs/>
          <w:snapToGrid/>
          <w:spacing w:val="4"/>
          <w:kern w:val="10"/>
          <w:sz w:val="24"/>
          <w:szCs w:val="24"/>
          <w:highlight w:val="none"/>
          <w:vertAlign w:val="superscript"/>
          <w:lang w:eastAsia="zh-CN"/>
        </w:rPr>
        <w:t>7</w:t>
      </w:r>
      <w:r>
        <w:rPr>
          <w:rFonts w:hint="eastAsia" w:ascii="宋体" w:hAnsi="宋体" w:eastAsia="宋体" w:cs="宋体"/>
          <w:bCs/>
          <w:snapToGrid/>
          <w:spacing w:val="4"/>
          <w:kern w:val="10"/>
          <w:sz w:val="24"/>
          <w:szCs w:val="24"/>
          <w:highlight w:val="none"/>
          <w:lang w:eastAsia="zh-CN"/>
        </w:rPr>
        <w:t>copies/ml；</w:t>
      </w:r>
    </w:p>
    <w:p w14:paraId="390FDE6D">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val="en-US" w:eastAsia="zh-CN"/>
        </w:rPr>
        <w:t>三</w:t>
      </w:r>
      <w:r>
        <w:rPr>
          <w:rFonts w:hint="eastAsia" w:ascii="宋体" w:hAnsi="宋体" w:eastAsia="宋体" w:cs="宋体"/>
          <w:bCs/>
          <w:snapToGrid/>
          <w:spacing w:val="4"/>
          <w:kern w:val="10"/>
          <w:sz w:val="24"/>
          <w:szCs w:val="24"/>
          <w:highlight w:val="none"/>
          <w:lang w:eastAsia="zh-CN"/>
        </w:rPr>
        <w:t>、配置清单</w:t>
      </w:r>
    </w:p>
    <w:p w14:paraId="780414D2">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主机：四通道全自动核酸提取扩增检测一体机</w:t>
      </w:r>
    </w:p>
    <w:p w14:paraId="5EA1CB5F">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配套设备：</w:t>
      </w:r>
    </w:p>
    <w:p w14:paraId="5C33A954">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 xml:space="preserve">品牌电脑 </w:t>
      </w:r>
      <w:r>
        <w:rPr>
          <w:rFonts w:hint="eastAsia" w:ascii="宋体" w:hAnsi="宋体" w:eastAsia="宋体" w:cs="宋体"/>
          <w:bCs/>
          <w:snapToGrid/>
          <w:spacing w:val="4"/>
          <w:kern w:val="10"/>
          <w:sz w:val="24"/>
          <w:szCs w:val="24"/>
          <w:highlight w:val="none"/>
          <w:lang w:val="en-US" w:eastAsia="zh-CN"/>
        </w:rPr>
        <w:t xml:space="preserve">         </w:t>
      </w:r>
      <w:r>
        <w:rPr>
          <w:rFonts w:hint="eastAsia" w:ascii="宋体" w:hAnsi="宋体" w:eastAsia="宋体" w:cs="宋体"/>
          <w:bCs/>
          <w:snapToGrid/>
          <w:spacing w:val="4"/>
          <w:kern w:val="10"/>
          <w:sz w:val="24"/>
          <w:szCs w:val="24"/>
          <w:highlight w:val="none"/>
          <w:lang w:eastAsia="zh-CN"/>
        </w:rPr>
        <w:t>1台（预装系统软件、检测软件）。</w:t>
      </w:r>
    </w:p>
    <w:p w14:paraId="6FD29815">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激光打印机</w:t>
      </w:r>
      <w:r>
        <w:rPr>
          <w:rFonts w:hint="eastAsia" w:ascii="宋体" w:hAnsi="宋体" w:eastAsia="宋体" w:cs="宋体"/>
          <w:bCs/>
          <w:snapToGrid/>
          <w:spacing w:val="4"/>
          <w:kern w:val="10"/>
          <w:sz w:val="24"/>
          <w:szCs w:val="24"/>
          <w:highlight w:val="none"/>
          <w:lang w:val="en-US" w:eastAsia="zh-CN"/>
        </w:rPr>
        <w:t xml:space="preserve">        </w:t>
      </w:r>
      <w:r>
        <w:rPr>
          <w:rFonts w:hint="eastAsia" w:ascii="宋体" w:hAnsi="宋体" w:eastAsia="宋体" w:cs="宋体"/>
          <w:bCs/>
          <w:snapToGrid/>
          <w:spacing w:val="4"/>
          <w:kern w:val="10"/>
          <w:sz w:val="24"/>
          <w:szCs w:val="24"/>
          <w:highlight w:val="none"/>
          <w:lang w:eastAsia="zh-CN"/>
        </w:rPr>
        <w:t>1台（自动输出检测报告）。</w:t>
      </w:r>
    </w:p>
    <w:p w14:paraId="1116384F">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手持扫码枪</w:t>
      </w:r>
      <w:r>
        <w:rPr>
          <w:rFonts w:hint="eastAsia" w:ascii="宋体" w:hAnsi="宋体" w:eastAsia="宋体" w:cs="宋体"/>
          <w:bCs/>
          <w:snapToGrid/>
          <w:spacing w:val="4"/>
          <w:kern w:val="10"/>
          <w:sz w:val="24"/>
          <w:szCs w:val="24"/>
          <w:highlight w:val="none"/>
          <w:lang w:val="en-US" w:eastAsia="zh-CN"/>
        </w:rPr>
        <w:t xml:space="preserve">        </w:t>
      </w:r>
      <w:r>
        <w:rPr>
          <w:rFonts w:hint="eastAsia" w:ascii="宋体" w:hAnsi="宋体" w:eastAsia="宋体" w:cs="宋体"/>
          <w:bCs/>
          <w:snapToGrid/>
          <w:spacing w:val="4"/>
          <w:kern w:val="10"/>
          <w:sz w:val="24"/>
          <w:szCs w:val="24"/>
          <w:highlight w:val="none"/>
          <w:lang w:eastAsia="zh-CN"/>
        </w:rPr>
        <w:t>1把（样本信息快速录入）。</w:t>
      </w:r>
    </w:p>
    <w:p w14:paraId="44C69E85">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专用工具包</w:t>
      </w:r>
      <w:r>
        <w:rPr>
          <w:rFonts w:hint="eastAsia" w:ascii="宋体" w:hAnsi="宋体" w:eastAsia="宋体" w:cs="宋体"/>
          <w:bCs/>
          <w:snapToGrid/>
          <w:spacing w:val="4"/>
          <w:kern w:val="10"/>
          <w:sz w:val="24"/>
          <w:szCs w:val="24"/>
          <w:highlight w:val="none"/>
          <w:lang w:val="en-US" w:eastAsia="zh-CN"/>
        </w:rPr>
        <w:t xml:space="preserve">        </w:t>
      </w:r>
      <w:r>
        <w:rPr>
          <w:rFonts w:hint="eastAsia" w:ascii="宋体" w:hAnsi="宋体" w:eastAsia="宋体" w:cs="宋体"/>
          <w:bCs/>
          <w:snapToGrid/>
          <w:spacing w:val="4"/>
          <w:kern w:val="10"/>
          <w:sz w:val="24"/>
          <w:szCs w:val="24"/>
          <w:highlight w:val="none"/>
          <w:lang w:eastAsia="zh-CN"/>
        </w:rPr>
        <w:t>1套（日常维护与校准工具）。</w:t>
      </w:r>
    </w:p>
    <w:p w14:paraId="2124842A">
      <w:pPr>
        <w:keepNext w:val="0"/>
        <w:keepLines w:val="0"/>
        <w:pageBreakBefore w:val="0"/>
        <w:widowControl w:val="0"/>
        <w:kinsoku/>
        <w:wordWrap/>
        <w:overflowPunct/>
        <w:topLinePunct w:val="0"/>
        <w:autoSpaceDE/>
        <w:autoSpaceDN/>
        <w:bidi w:val="0"/>
        <w:adjustRightInd/>
        <w:snapToGrid/>
        <w:spacing w:line="360" w:lineRule="auto"/>
        <w:ind w:firstLine="496" w:firstLineChars="200"/>
        <w:jc w:val="both"/>
        <w:textAlignment w:val="auto"/>
        <w:rPr>
          <w:rFonts w:hint="eastAsia" w:ascii="宋体" w:hAnsi="宋体" w:eastAsia="宋体" w:cs="宋体"/>
          <w:bCs/>
          <w:snapToGrid/>
          <w:spacing w:val="4"/>
          <w:kern w:val="10"/>
          <w:sz w:val="24"/>
          <w:szCs w:val="24"/>
          <w:highlight w:val="none"/>
          <w:lang w:val="en-US" w:eastAsia="zh-CN"/>
        </w:rPr>
      </w:pPr>
      <w:r>
        <w:rPr>
          <w:rFonts w:hint="eastAsia" w:ascii="宋体" w:hAnsi="宋体" w:eastAsia="宋体" w:cs="宋体"/>
          <w:bCs/>
          <w:snapToGrid/>
          <w:spacing w:val="4"/>
          <w:kern w:val="10"/>
          <w:sz w:val="24"/>
          <w:szCs w:val="24"/>
          <w:highlight w:val="none"/>
          <w:lang w:val="en-US" w:eastAsia="zh-CN"/>
        </w:rPr>
        <w:t>四、售后服务</w:t>
      </w:r>
    </w:p>
    <w:p w14:paraId="5FC67C04">
      <w:pPr>
        <w:pStyle w:val="2"/>
        <w:keepNext w:val="0"/>
        <w:keepLines w:val="0"/>
        <w:pageBreakBefore w:val="0"/>
        <w:wordWrap/>
        <w:overflowPunct/>
        <w:topLinePunct w:val="0"/>
        <w:bidi w:val="0"/>
        <w:spacing w:line="360" w:lineRule="auto"/>
        <w:ind w:firstLine="496" w:firstLineChars="200"/>
        <w:rPr>
          <w:rFonts w:hint="eastAsia" w:ascii="宋体" w:hAnsi="宋体" w:eastAsia="宋体" w:cs="宋体"/>
          <w:bCs/>
          <w:snapToGrid/>
          <w:spacing w:val="4"/>
          <w:kern w:val="10"/>
          <w:sz w:val="24"/>
          <w:szCs w:val="24"/>
          <w:highlight w:val="none"/>
          <w:lang w:eastAsia="zh-CN"/>
        </w:rPr>
      </w:pPr>
      <w:r>
        <w:rPr>
          <w:rFonts w:hint="eastAsia" w:ascii="宋体" w:hAnsi="宋体" w:eastAsia="宋体" w:cs="宋体"/>
          <w:bCs/>
          <w:snapToGrid/>
          <w:spacing w:val="4"/>
          <w:kern w:val="10"/>
          <w:sz w:val="24"/>
          <w:szCs w:val="24"/>
          <w:highlight w:val="none"/>
          <w:lang w:eastAsia="zh-CN"/>
        </w:rPr>
        <w:t>整机免费保修≥2年，终身技术支持。实验室参加上级质控考核、能力验证时，厂家工程师上门协助仪器调试、方法验证、检测支持，确保考核通过。免费上门安装、调试、操作培训与维护培训。提供原厂校准服务，确保检测结果符合国家规范。</w:t>
      </w:r>
    </w:p>
    <w:p w14:paraId="75D7E313">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b/>
          <w:bCs/>
          <w:snapToGrid/>
          <w:kern w:val="2"/>
          <w:sz w:val="28"/>
          <w:szCs w:val="28"/>
          <w:lang w:val="en-US" w:eastAsia="zh-CN"/>
        </w:rPr>
      </w:pPr>
      <w:bookmarkStart w:id="102" w:name="_Toc18978"/>
      <w:bookmarkStart w:id="103" w:name="_Toc1664"/>
      <w:r>
        <w:rPr>
          <w:rFonts w:hint="eastAsia" w:ascii="宋体" w:hAnsi="宋体" w:eastAsia="宋体" w:cs="宋体"/>
          <w:b/>
          <w:bCs/>
          <w:snapToGrid/>
          <w:kern w:val="2"/>
          <w:sz w:val="28"/>
          <w:szCs w:val="28"/>
          <w:lang w:val="en-US" w:eastAsia="zh-CN"/>
        </w:rPr>
        <w:t>6.生物安全柜</w:t>
      </w:r>
      <w:bookmarkEnd w:id="102"/>
      <w:bookmarkEnd w:id="103"/>
    </w:p>
    <w:p w14:paraId="6F847046">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一、产品名称</w:t>
      </w:r>
    </w:p>
    <w:p w14:paraId="5783106E">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rPr>
        <w:t>Ⅱ级A2型生物安全柜（双人操作）</w:t>
      </w:r>
    </w:p>
    <w:p w14:paraId="290FCAF9">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二、适用标准</w:t>
      </w:r>
    </w:p>
    <w:p w14:paraId="300773D2">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必须完全符合GB 41918-2022《生物安全柜》最新国家标准，提供符合该标准的第三方检测报告。</w:t>
      </w:r>
    </w:p>
    <w:p w14:paraId="5C09E51E">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三、设备类型与规格</w:t>
      </w:r>
    </w:p>
    <w:p w14:paraId="2975BBBF">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生物安全防护等级：Ⅱ级A2型</w:t>
      </w:r>
    </w:p>
    <w:p w14:paraId="17AE440A">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操作模式：双人单面操作</w:t>
      </w:r>
    </w:p>
    <w:p w14:paraId="7DBDD934">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气流模式：70%循环，30%外排</w:t>
      </w:r>
    </w:p>
    <w:p w14:paraId="4C8219BF">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四、主要技术参数</w:t>
      </w:r>
    </w:p>
    <w:p w14:paraId="49E5EC8E">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1.洁净等级</w:t>
      </w:r>
    </w:p>
    <w:p w14:paraId="26ECF5AB">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操作区达到</w:t>
      </w:r>
      <w:r>
        <w:rPr>
          <w:rFonts w:hint="eastAsia" w:ascii="宋体" w:hAnsi="宋体" w:eastAsia="宋体" w:cs="宋体"/>
          <w:snapToGrid/>
          <w:sz w:val="24"/>
          <w:szCs w:val="24"/>
          <w:lang w:val="en-US" w:eastAsia="zh-CN"/>
        </w:rPr>
        <w:t>10级</w:t>
      </w:r>
      <w:r>
        <w:rPr>
          <w:rFonts w:hint="eastAsia" w:ascii="宋体" w:hAnsi="宋体" w:eastAsia="宋体" w:cs="宋体"/>
          <w:snapToGrid/>
          <w:sz w:val="24"/>
          <w:szCs w:val="24"/>
        </w:rPr>
        <w:t>洁净度。进、排风过滤器采用超高效过滤器ULPA</w:t>
      </w:r>
      <w:r>
        <w:rPr>
          <w:rFonts w:hint="eastAsia" w:ascii="宋体" w:hAnsi="宋体" w:eastAsia="宋体" w:cs="宋体"/>
          <w:snapToGrid/>
          <w:sz w:val="24"/>
          <w:szCs w:val="24"/>
          <w:lang w:eastAsia="zh-CN"/>
        </w:rPr>
        <w:t>，</w:t>
      </w:r>
      <w:r>
        <w:rPr>
          <w:rFonts w:hint="eastAsia" w:ascii="宋体" w:hAnsi="宋体" w:eastAsia="宋体" w:cs="宋体"/>
          <w:snapToGrid/>
          <w:sz w:val="24"/>
          <w:szCs w:val="24"/>
        </w:rPr>
        <w:t>过滤效率：≥99.</w:t>
      </w:r>
      <w:r>
        <w:rPr>
          <w:rFonts w:hint="eastAsia" w:ascii="宋体" w:hAnsi="宋体" w:eastAsia="宋体" w:cs="宋体"/>
          <w:snapToGrid/>
          <w:sz w:val="24"/>
          <w:szCs w:val="24"/>
          <w:lang w:val="en-US" w:eastAsia="zh-CN"/>
        </w:rPr>
        <w:t>9</w:t>
      </w:r>
      <w:r>
        <w:rPr>
          <w:rFonts w:hint="eastAsia" w:ascii="宋体" w:hAnsi="宋体" w:eastAsia="宋体" w:cs="宋体"/>
          <w:snapToGrid/>
          <w:sz w:val="24"/>
          <w:szCs w:val="24"/>
        </w:rPr>
        <w:t>995%（0.</w:t>
      </w:r>
      <w:r>
        <w:rPr>
          <w:rFonts w:hint="eastAsia" w:ascii="宋体" w:hAnsi="宋体" w:eastAsia="宋体" w:cs="宋体"/>
          <w:snapToGrid/>
          <w:sz w:val="24"/>
          <w:szCs w:val="24"/>
          <w:lang w:val="en-US" w:eastAsia="zh-CN"/>
        </w:rPr>
        <w:t>12</w:t>
      </w:r>
      <w:r>
        <w:rPr>
          <w:rFonts w:hint="eastAsia" w:ascii="宋体" w:hAnsi="宋体" w:eastAsia="宋体" w:cs="宋体"/>
          <w:snapToGrid/>
          <w:sz w:val="24"/>
          <w:szCs w:val="24"/>
        </w:rPr>
        <w:t>μm颗粒）</w:t>
      </w:r>
    </w:p>
    <w:p w14:paraId="71985C65">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2.风速与气流控制</w:t>
      </w:r>
    </w:p>
    <w:p w14:paraId="274B56E8">
      <w:pPr>
        <w:keepNext w:val="0"/>
        <w:keepLines w:val="0"/>
        <w:pageBreakBefore w:val="0"/>
        <w:widowControl/>
        <w:kinsoku/>
        <w:wordWrap/>
        <w:overflowPunct/>
        <w:topLinePunct w:val="0"/>
        <w:bidi w:val="0"/>
        <w:snapToGrid/>
        <w:spacing w:before="0" w:beforeAutospacing="0" w:after="0" w:afterAutospacing="0" w:line="360" w:lineRule="auto"/>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风速：下降风速≥0.33m/s；流入风速≥0.55m/s；配置风压传感器，可实时监测并显示正压区和负压区的压力值，压力变化超限时自动声光报警；</w:t>
      </w:r>
    </w:p>
    <w:p w14:paraId="01EA1C4A">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lang w:val="en-US" w:eastAsia="zh-CN"/>
        </w:rPr>
        <w:t>3</w:t>
      </w:r>
      <w:r>
        <w:rPr>
          <w:rFonts w:hint="eastAsia" w:ascii="宋体" w:hAnsi="宋体" w:eastAsia="宋体" w:cs="宋体"/>
          <w:snapToGrid/>
          <w:sz w:val="24"/>
          <w:szCs w:val="24"/>
        </w:rPr>
        <w:t>.柜体结构</w:t>
      </w:r>
    </w:p>
    <w:p w14:paraId="1856623B">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柜体材质：优质冷轧钢板，防腐防静电喷涂</w:t>
      </w:r>
    </w:p>
    <w:p w14:paraId="267A4C8E">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工作区材质：整个柜体外壳为一体焊接成型，非拼接打胶密封结构，最大限度减少泄漏</w:t>
      </w:r>
    </w:p>
    <w:p w14:paraId="32564D71">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操作窗口：前窗玻璃</w:t>
      </w:r>
      <w:r>
        <w:rPr>
          <w:rFonts w:hint="eastAsia" w:ascii="宋体" w:hAnsi="宋体" w:eastAsia="宋体" w:cs="宋体"/>
          <w:snapToGrid/>
          <w:sz w:val="24"/>
          <w:szCs w:val="24"/>
          <w:lang w:eastAsia="zh-CN"/>
        </w:rPr>
        <w:t>采用</w:t>
      </w:r>
      <w:r>
        <w:rPr>
          <w:rFonts w:hint="eastAsia" w:ascii="宋体" w:hAnsi="宋体" w:eastAsia="宋体" w:cs="宋体"/>
          <w:snapToGrid/>
          <w:sz w:val="24"/>
          <w:szCs w:val="24"/>
        </w:rPr>
        <w:t>防紫外线钢化玻璃</w:t>
      </w:r>
      <w:r>
        <w:rPr>
          <w:rFonts w:hint="eastAsia" w:ascii="宋体" w:hAnsi="宋体" w:eastAsia="宋体" w:cs="宋体"/>
          <w:snapToGrid/>
          <w:sz w:val="24"/>
          <w:szCs w:val="24"/>
          <w:lang w:eastAsia="zh-CN"/>
        </w:rPr>
        <w:t>、</w:t>
      </w:r>
      <w:r>
        <w:rPr>
          <w:rFonts w:hint="eastAsia" w:ascii="宋体" w:hAnsi="宋体" w:eastAsia="宋体" w:cs="宋体"/>
          <w:snapToGrid/>
          <w:sz w:val="24"/>
          <w:szCs w:val="24"/>
        </w:rPr>
        <w:t>覆防爆膜，增强玻璃的抗冲击性和防紫外线的能力，实现对操作人员最大强度的保护</w:t>
      </w:r>
      <w:r>
        <w:rPr>
          <w:rFonts w:hint="eastAsia" w:ascii="宋体" w:hAnsi="宋体" w:eastAsia="宋体" w:cs="宋体"/>
          <w:snapToGrid/>
          <w:sz w:val="24"/>
          <w:szCs w:val="24"/>
          <w:lang w:eastAsia="zh-CN"/>
        </w:rPr>
        <w:t>；</w:t>
      </w:r>
      <w:r>
        <w:rPr>
          <w:rFonts w:hint="eastAsia" w:ascii="宋体" w:hAnsi="宋体" w:eastAsia="宋体" w:cs="宋体"/>
          <w:snapToGrid/>
          <w:sz w:val="24"/>
          <w:szCs w:val="24"/>
        </w:rPr>
        <w:t>钢化安全玻璃，可升降，带安全限位</w:t>
      </w:r>
      <w:r>
        <w:rPr>
          <w:rFonts w:hint="eastAsia" w:ascii="宋体" w:hAnsi="宋体" w:eastAsia="宋体" w:cs="宋体"/>
          <w:snapToGrid/>
          <w:sz w:val="24"/>
          <w:szCs w:val="24"/>
          <w:lang w:eastAsia="zh-CN"/>
        </w:rPr>
        <w:t>，</w:t>
      </w:r>
      <w:r>
        <w:rPr>
          <w:rFonts w:hint="eastAsia" w:ascii="宋体" w:hAnsi="宋体" w:eastAsia="宋体" w:cs="宋体"/>
          <w:snapToGrid/>
          <w:sz w:val="24"/>
          <w:szCs w:val="24"/>
        </w:rPr>
        <w:t>具有气流隔断技术，沿玻璃门上沿缝隙有负压气流阻断保护，防止工作区内外气体交互</w:t>
      </w:r>
      <w:r>
        <w:rPr>
          <w:rFonts w:hint="eastAsia" w:ascii="宋体" w:hAnsi="宋体" w:eastAsia="宋体" w:cs="宋体"/>
          <w:snapToGrid/>
          <w:sz w:val="24"/>
          <w:szCs w:val="24"/>
          <w:lang w:eastAsia="zh-CN"/>
        </w:rPr>
        <w:t>，</w:t>
      </w:r>
      <w:r>
        <w:rPr>
          <w:rFonts w:hint="eastAsia" w:ascii="宋体" w:hAnsi="宋体" w:eastAsia="宋体" w:cs="宋体"/>
          <w:snapToGrid/>
          <w:sz w:val="24"/>
          <w:szCs w:val="24"/>
        </w:rPr>
        <w:t>边角圆弧设计，便于清洁消毒。</w:t>
      </w:r>
    </w:p>
    <w:p w14:paraId="505D64A5">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hAnsi="宋体" w:cs="宋体"/>
          <w:snapToGrid/>
          <w:sz w:val="24"/>
          <w:szCs w:val="24"/>
          <w:lang w:val="en-US" w:eastAsia="zh-CN"/>
        </w:rPr>
        <w:t>4</w:t>
      </w:r>
      <w:r>
        <w:rPr>
          <w:rFonts w:hint="eastAsia" w:ascii="宋体" w:hAnsi="宋体" w:eastAsia="宋体" w:cs="宋体"/>
          <w:snapToGrid/>
          <w:sz w:val="24"/>
          <w:szCs w:val="24"/>
        </w:rPr>
        <w:t>.安全保护与报警系统</w:t>
      </w:r>
    </w:p>
    <w:p w14:paraId="0BB926E6">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rPr>
        <w:t>过滤器失效报警</w:t>
      </w:r>
      <w:r>
        <w:rPr>
          <w:rFonts w:hint="eastAsia" w:ascii="宋体" w:hAnsi="宋体" w:eastAsia="宋体" w:cs="宋体"/>
          <w:snapToGrid/>
          <w:sz w:val="24"/>
          <w:szCs w:val="24"/>
          <w:lang w:eastAsia="zh-CN"/>
        </w:rPr>
        <w:t>，</w:t>
      </w:r>
      <w:r>
        <w:rPr>
          <w:rFonts w:hint="eastAsia" w:ascii="宋体" w:hAnsi="宋体" w:eastAsia="宋体" w:cs="宋体"/>
          <w:snapToGrid/>
          <w:sz w:val="24"/>
          <w:szCs w:val="24"/>
        </w:rPr>
        <w:t>气流异常报警</w:t>
      </w:r>
      <w:r>
        <w:rPr>
          <w:rFonts w:hint="eastAsia" w:ascii="宋体" w:hAnsi="宋体" w:eastAsia="宋体" w:cs="宋体"/>
          <w:snapToGrid/>
          <w:sz w:val="24"/>
          <w:szCs w:val="24"/>
          <w:lang w:eastAsia="zh-CN"/>
        </w:rPr>
        <w:t>，</w:t>
      </w:r>
      <w:r>
        <w:rPr>
          <w:rFonts w:hint="eastAsia" w:ascii="宋体" w:hAnsi="宋体" w:eastAsia="宋体" w:cs="宋体"/>
          <w:snapToGrid/>
          <w:sz w:val="24"/>
          <w:szCs w:val="24"/>
        </w:rPr>
        <w:t>风机故障报警</w:t>
      </w:r>
      <w:r>
        <w:rPr>
          <w:rFonts w:hint="eastAsia" w:ascii="宋体" w:hAnsi="宋体" w:eastAsia="宋体" w:cs="宋体"/>
          <w:snapToGrid/>
          <w:sz w:val="24"/>
          <w:szCs w:val="24"/>
          <w:lang w:eastAsia="zh-CN"/>
        </w:rPr>
        <w:t>，</w:t>
      </w:r>
      <w:r>
        <w:rPr>
          <w:rFonts w:hint="eastAsia" w:ascii="宋体" w:hAnsi="宋体" w:eastAsia="宋体" w:cs="宋体"/>
          <w:snapToGrid/>
          <w:sz w:val="24"/>
          <w:szCs w:val="24"/>
        </w:rPr>
        <w:t>玻璃门过高/过低报警</w:t>
      </w:r>
      <w:r>
        <w:rPr>
          <w:rFonts w:hint="eastAsia" w:ascii="宋体" w:hAnsi="宋体" w:eastAsia="宋体" w:cs="宋体"/>
          <w:snapToGrid/>
          <w:sz w:val="24"/>
          <w:szCs w:val="24"/>
          <w:lang w:eastAsia="zh-CN"/>
        </w:rPr>
        <w:t>，</w:t>
      </w:r>
      <w:r>
        <w:rPr>
          <w:rFonts w:hint="eastAsia" w:ascii="宋体" w:hAnsi="宋体" w:eastAsia="宋体" w:cs="宋体"/>
          <w:snapToGrid/>
          <w:sz w:val="24"/>
          <w:szCs w:val="24"/>
        </w:rPr>
        <w:t>紫外灯互锁保护（操作窗打开时紫外无法开启）</w:t>
      </w:r>
      <w:r>
        <w:rPr>
          <w:rFonts w:hint="eastAsia" w:ascii="宋体" w:hAnsi="宋体" w:eastAsia="宋体" w:cs="宋体"/>
          <w:snapToGrid/>
          <w:sz w:val="24"/>
          <w:szCs w:val="24"/>
          <w:lang w:eastAsia="zh-CN"/>
        </w:rPr>
        <w:t>，</w:t>
      </w:r>
      <w:r>
        <w:rPr>
          <w:rFonts w:hint="eastAsia" w:ascii="宋体" w:hAnsi="宋体" w:eastAsia="宋体" w:cs="宋体"/>
          <w:snapToGrid/>
          <w:sz w:val="24"/>
          <w:szCs w:val="24"/>
        </w:rPr>
        <w:t>标配电动门，前窗定位采用显示屏按键、脚踏和遥控器升降三重模式，开关随意定位</w:t>
      </w:r>
      <w:r>
        <w:rPr>
          <w:rFonts w:hint="eastAsia" w:ascii="宋体" w:hAnsi="宋体" w:eastAsia="宋体" w:cs="宋体"/>
          <w:snapToGrid/>
          <w:sz w:val="24"/>
          <w:szCs w:val="24"/>
          <w:lang w:eastAsia="zh-CN"/>
        </w:rPr>
        <w:t>，</w:t>
      </w:r>
      <w:r>
        <w:rPr>
          <w:rFonts w:hint="eastAsia" w:ascii="宋体" w:hAnsi="宋体" w:eastAsia="宋体" w:cs="宋体"/>
          <w:snapToGrid/>
          <w:sz w:val="24"/>
          <w:szCs w:val="24"/>
        </w:rPr>
        <w:t>打开前窗玻璃后，紫外灯应自动关闭，风机、照明灯自动开始运行；关闭前窗后，风机和</w:t>
      </w:r>
      <w:r>
        <w:rPr>
          <w:rFonts w:hint="eastAsia" w:ascii="宋体" w:hAnsi="宋体" w:eastAsia="宋体" w:cs="宋体"/>
          <w:snapToGrid/>
          <w:sz w:val="24"/>
          <w:szCs w:val="24"/>
          <w:lang w:val="en-US" w:eastAsia="zh-CN"/>
        </w:rPr>
        <w:t>紫外</w:t>
      </w:r>
      <w:r>
        <w:rPr>
          <w:rFonts w:hint="eastAsia" w:ascii="宋体" w:hAnsi="宋体" w:eastAsia="宋体" w:cs="宋体"/>
          <w:snapToGrid/>
          <w:sz w:val="24"/>
          <w:szCs w:val="24"/>
        </w:rPr>
        <w:t>灯自动关闭</w:t>
      </w:r>
      <w:r>
        <w:rPr>
          <w:rFonts w:hint="eastAsia" w:ascii="宋体" w:hAnsi="宋体" w:eastAsia="宋体" w:cs="宋体"/>
          <w:snapToGrid/>
          <w:sz w:val="24"/>
          <w:szCs w:val="24"/>
          <w:lang w:eastAsia="zh-CN"/>
        </w:rPr>
        <w:t>。</w:t>
      </w:r>
    </w:p>
    <w:p w14:paraId="0CA70122">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hAnsi="宋体" w:cs="宋体"/>
          <w:snapToGrid/>
          <w:sz w:val="24"/>
          <w:szCs w:val="24"/>
          <w:lang w:val="en-US" w:eastAsia="zh-CN"/>
        </w:rPr>
        <w:t>5</w:t>
      </w:r>
      <w:r>
        <w:rPr>
          <w:rFonts w:hint="eastAsia" w:ascii="宋体" w:hAnsi="宋体" w:eastAsia="宋体" w:cs="宋体"/>
          <w:snapToGrid/>
          <w:sz w:val="24"/>
          <w:szCs w:val="24"/>
        </w:rPr>
        <w:t>.照明与消毒</w:t>
      </w:r>
    </w:p>
    <w:p w14:paraId="1C143E8A">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照明亮度：≥650 Lux</w:t>
      </w:r>
    </w:p>
    <w:p w14:paraId="5BFEB70A">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配置紫外杀菌灯</w:t>
      </w:r>
      <w:r>
        <w:rPr>
          <w:rFonts w:hint="eastAsia" w:ascii="宋体" w:hAnsi="宋体" w:eastAsia="宋体" w:cs="宋体"/>
          <w:snapToGrid/>
          <w:sz w:val="24"/>
          <w:szCs w:val="24"/>
          <w:lang w:eastAsia="zh-CN"/>
        </w:rPr>
        <w:t>，具备</w:t>
      </w:r>
      <w:r>
        <w:rPr>
          <w:rFonts w:hint="eastAsia" w:ascii="宋体" w:hAnsi="宋体" w:eastAsia="宋体" w:cs="宋体"/>
          <w:snapToGrid/>
          <w:sz w:val="24"/>
          <w:szCs w:val="24"/>
        </w:rPr>
        <w:t>紫外灯</w:t>
      </w:r>
      <w:r>
        <w:rPr>
          <w:rFonts w:hint="eastAsia" w:ascii="宋体" w:hAnsi="宋体" w:eastAsia="宋体" w:cs="宋体"/>
          <w:snapToGrid/>
          <w:sz w:val="24"/>
          <w:szCs w:val="24"/>
          <w:lang w:eastAsia="zh-CN"/>
        </w:rPr>
        <w:t>预约</w:t>
      </w:r>
      <w:r>
        <w:rPr>
          <w:rFonts w:hint="eastAsia" w:ascii="宋体" w:hAnsi="宋体" w:eastAsia="宋体" w:cs="宋体"/>
          <w:snapToGrid/>
          <w:sz w:val="24"/>
          <w:szCs w:val="24"/>
        </w:rPr>
        <w:t>消毒</w:t>
      </w:r>
      <w:r>
        <w:rPr>
          <w:rFonts w:hint="eastAsia" w:ascii="宋体" w:hAnsi="宋体" w:eastAsia="宋体" w:cs="宋体"/>
          <w:snapToGrid/>
          <w:sz w:val="24"/>
          <w:szCs w:val="24"/>
          <w:lang w:eastAsia="zh-CN"/>
        </w:rPr>
        <w:t>功能</w:t>
      </w:r>
      <w:r>
        <w:rPr>
          <w:rFonts w:hint="eastAsia" w:ascii="宋体" w:hAnsi="宋体" w:eastAsia="宋体" w:cs="宋体"/>
          <w:snapToGrid/>
          <w:sz w:val="24"/>
          <w:szCs w:val="24"/>
        </w:rPr>
        <w:t>，预约具备自动记忆功能</w:t>
      </w:r>
      <w:r>
        <w:rPr>
          <w:rFonts w:hint="eastAsia" w:ascii="宋体" w:hAnsi="宋体" w:eastAsia="宋体" w:cs="宋体"/>
          <w:snapToGrid/>
          <w:sz w:val="24"/>
          <w:szCs w:val="24"/>
          <w:lang w:eastAsia="zh-CN"/>
        </w:rPr>
        <w:t>；</w:t>
      </w:r>
      <w:r>
        <w:rPr>
          <w:rFonts w:hint="eastAsia" w:ascii="宋体" w:hAnsi="宋体" w:eastAsia="宋体" w:cs="宋体"/>
          <w:snapToGrid/>
          <w:sz w:val="24"/>
          <w:szCs w:val="24"/>
        </w:rPr>
        <w:t>配置防腐蚀防溅插座（内置）</w:t>
      </w:r>
    </w:p>
    <w:p w14:paraId="14E70438">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hAnsi="宋体" w:cs="宋体"/>
          <w:snapToGrid/>
          <w:sz w:val="24"/>
          <w:szCs w:val="24"/>
          <w:lang w:val="en-US" w:eastAsia="zh-CN"/>
        </w:rPr>
        <w:t>6</w:t>
      </w:r>
      <w:r>
        <w:rPr>
          <w:rFonts w:hint="eastAsia" w:ascii="宋体" w:hAnsi="宋体" w:eastAsia="宋体" w:cs="宋体"/>
          <w:snapToGrid/>
          <w:sz w:val="24"/>
          <w:szCs w:val="24"/>
        </w:rPr>
        <w:t>.显示与控制</w:t>
      </w:r>
    </w:p>
    <w:p w14:paraId="5FF2DE97">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液晶显示屏，实时显示：风速、过滤器状态、工作时间、紫外灯状态、报警信息。</w:t>
      </w:r>
    </w:p>
    <w:p w14:paraId="1F60D609">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lang w:val="en-US" w:eastAsia="zh-CN"/>
        </w:rPr>
        <w:t>五</w:t>
      </w:r>
      <w:r>
        <w:rPr>
          <w:rFonts w:hint="eastAsia" w:ascii="宋体" w:hAnsi="宋体" w:eastAsia="宋体" w:cs="宋体"/>
          <w:snapToGrid/>
          <w:sz w:val="24"/>
          <w:szCs w:val="24"/>
        </w:rPr>
        <w:t>、售后服务</w:t>
      </w:r>
    </w:p>
    <w:p w14:paraId="2C560176">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rPr>
      </w:pPr>
      <w:r>
        <w:rPr>
          <w:rFonts w:hint="eastAsia" w:ascii="宋体" w:hAnsi="宋体" w:eastAsia="宋体" w:cs="宋体"/>
          <w:snapToGrid/>
          <w:sz w:val="24"/>
          <w:szCs w:val="24"/>
        </w:rPr>
        <w:t>整机免费保修≥2年（含风机、控制系统、过滤器除外）</w:t>
      </w:r>
    </w:p>
    <w:p w14:paraId="6518C220">
      <w:pPr>
        <w:pStyle w:val="4"/>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rPr>
        <w:t>厂家免费上门安装、调试、培训</w:t>
      </w:r>
      <w:r>
        <w:rPr>
          <w:rFonts w:hint="eastAsia" w:ascii="宋体" w:hAnsi="宋体" w:eastAsia="宋体" w:cs="宋体"/>
          <w:snapToGrid/>
          <w:sz w:val="24"/>
          <w:szCs w:val="24"/>
          <w:lang w:eastAsia="zh-CN"/>
        </w:rPr>
        <w:t>，</w:t>
      </w:r>
      <w:r>
        <w:rPr>
          <w:rFonts w:hint="eastAsia" w:ascii="宋体" w:hAnsi="宋体" w:eastAsia="宋体" w:cs="宋体"/>
          <w:snapToGrid/>
          <w:sz w:val="24"/>
          <w:szCs w:val="24"/>
          <w:lang w:val="en-US" w:eastAsia="zh-CN"/>
        </w:rPr>
        <w:t>提供不少于3米的外排管，</w:t>
      </w:r>
      <w:r>
        <w:rPr>
          <w:rFonts w:hint="eastAsia" w:ascii="宋体" w:hAnsi="宋体" w:eastAsia="宋体" w:cs="宋体"/>
          <w:snapToGrid/>
          <w:sz w:val="24"/>
          <w:szCs w:val="24"/>
        </w:rPr>
        <w:t>7×24小时技术支持，48小时内上门服务</w:t>
      </w:r>
      <w:r>
        <w:rPr>
          <w:rFonts w:hint="eastAsia" w:ascii="宋体" w:hAnsi="宋体" w:eastAsia="宋体" w:cs="宋体"/>
          <w:snapToGrid/>
          <w:sz w:val="24"/>
          <w:szCs w:val="24"/>
          <w:lang w:eastAsia="zh-CN"/>
        </w:rPr>
        <w:t>。</w:t>
      </w:r>
    </w:p>
    <w:p w14:paraId="12D6FF3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b/>
          <w:bCs/>
          <w:snapToGrid/>
          <w:kern w:val="2"/>
          <w:sz w:val="28"/>
          <w:szCs w:val="28"/>
          <w:lang w:val="en-US" w:eastAsia="zh-CN"/>
        </w:rPr>
      </w:pPr>
      <w:bookmarkStart w:id="104" w:name="_Toc1707"/>
      <w:bookmarkStart w:id="105" w:name="_Toc13040"/>
      <w:r>
        <w:rPr>
          <w:rFonts w:hint="eastAsia" w:ascii="宋体" w:hAnsi="宋体" w:eastAsia="宋体" w:cs="宋体"/>
          <w:b/>
          <w:bCs/>
          <w:snapToGrid/>
          <w:kern w:val="2"/>
          <w:sz w:val="28"/>
          <w:szCs w:val="28"/>
          <w:lang w:val="en-US" w:eastAsia="zh-CN"/>
        </w:rPr>
        <w:t>7.数字化摄影X射线机（DR）</w:t>
      </w:r>
      <w:bookmarkEnd w:id="104"/>
      <w:bookmarkEnd w:id="105"/>
    </w:p>
    <w:p w14:paraId="4CD46CED">
      <w:pPr>
        <w:pageBreakBefore w:val="0"/>
        <w:widowControl w:val="0"/>
        <w:tabs>
          <w:tab w:val="left" w:pos="816"/>
          <w:tab w:val="left" w:pos="2367"/>
        </w:tabs>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napToGrid/>
          <w:spacing w:val="0"/>
          <w:kern w:val="2"/>
          <w:sz w:val="24"/>
          <w:szCs w:val="24"/>
          <w:highlight w:val="none"/>
          <w:lang w:eastAsia="zh-CN"/>
        </w:rPr>
      </w:pPr>
      <w:bookmarkStart w:id="106" w:name="_Hlk141390395"/>
      <w:r>
        <w:rPr>
          <w:rFonts w:hint="eastAsia" w:ascii="宋体" w:hAnsi="宋体" w:eastAsia="宋体" w:cs="宋体"/>
          <w:snapToGrid/>
          <w:spacing w:val="0"/>
          <w:kern w:val="2"/>
          <w:sz w:val="24"/>
          <w:szCs w:val="24"/>
          <w:highlight w:val="none"/>
          <w:lang w:eastAsia="zh-CN"/>
        </w:rPr>
        <w:t>1.功能要求</w:t>
      </w:r>
      <w:r>
        <w:rPr>
          <w:rFonts w:hint="eastAsia" w:ascii="宋体" w:hAnsi="宋体" w:eastAsia="宋体" w:cs="宋体"/>
          <w:snapToGrid/>
          <w:spacing w:val="0"/>
          <w:kern w:val="2"/>
          <w:sz w:val="24"/>
          <w:szCs w:val="24"/>
          <w:highlight w:val="none"/>
          <w:lang w:eastAsia="zh-CN"/>
        </w:rPr>
        <w:tab/>
      </w:r>
    </w:p>
    <w:p w14:paraId="61512824">
      <w:pPr>
        <w:pageBreakBefore w:val="0"/>
        <w:widowControl w:val="0"/>
        <w:tabs>
          <w:tab w:val="left" w:pos="816"/>
          <w:tab w:val="left" w:pos="2367"/>
        </w:tabs>
        <w:kinsoku/>
        <w:wordWrap/>
        <w:overflowPunct/>
        <w:topLinePunct w:val="0"/>
        <w:autoSpaceDE/>
        <w:autoSpaceDN/>
        <w:bidi w:val="0"/>
        <w:adjustRightInd/>
        <w:snapToGrid/>
        <w:spacing w:line="360" w:lineRule="exact"/>
        <w:ind w:firstLine="240" w:firstLineChars="1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（1）数字化摄影X射线机：采用移动平板探测器、一体化落地式机架带固定式摄影床，一机多用；</w:t>
      </w:r>
    </w:p>
    <w:p w14:paraId="7F1A5DB2">
      <w:pPr>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★（2）为保证整机兼容及售后保障，投标产品配备的高压发生器、平板探测器为同一制造商。</w:t>
      </w:r>
    </w:p>
    <w:p w14:paraId="2A89E597">
      <w:pPr>
        <w:pageBreakBefore w:val="0"/>
        <w:widowControl w:val="0"/>
        <w:kinsoku/>
        <w:wordWrap/>
        <w:overflowPunct/>
        <w:topLinePunct w:val="0"/>
        <w:autoSpaceDE/>
        <w:autoSpaceDN/>
        <w:bidi w:val="0"/>
        <w:adjustRightInd/>
        <w:snapToGrid/>
        <w:spacing w:line="360" w:lineRule="exact"/>
        <w:ind w:firstLine="240" w:firstLineChars="100"/>
        <w:jc w:val="both"/>
        <w:textAlignment w:val="auto"/>
        <w:outlineLvl w:val="9"/>
        <w:rPr>
          <w:rFonts w:hint="eastAsia" w:ascii="宋体" w:hAnsi="宋体" w:eastAsia="宋体" w:cs="宋体"/>
          <w:snapToGrid/>
          <w:kern w:val="2"/>
          <w:sz w:val="24"/>
          <w:szCs w:val="24"/>
          <w:lang w:val="en-US" w:eastAsia="zh-CN"/>
        </w:rPr>
      </w:pPr>
      <w:r>
        <w:rPr>
          <w:rFonts w:hint="eastAsia" w:ascii="宋体" w:hAnsi="宋体" w:eastAsia="宋体" w:cs="宋体"/>
          <w:snapToGrid/>
          <w:spacing w:val="0"/>
          <w:kern w:val="2"/>
          <w:sz w:val="24"/>
          <w:szCs w:val="24"/>
          <w:highlight w:val="none"/>
          <w:lang w:eastAsia="zh-CN"/>
        </w:rPr>
        <w:t>（3）设备用途：整机双立柱型机架式结构加平板探测器系统，能进行人体全身各部位的立位、卧位、水平侧位、担架位、轮椅位等X线影像学检查，实现X线数字成像、数字图像的DICOM网络传输、打印、存贮管理及激光打印胶片、完善的图像后处理功能。</w:t>
      </w:r>
    </w:p>
    <w:p w14:paraId="118294D9">
      <w:pPr>
        <w:pageBreakBefore w:val="0"/>
        <w:widowControl w:val="0"/>
        <w:tabs>
          <w:tab w:val="left" w:pos="816"/>
          <w:tab w:val="left" w:pos="2367"/>
        </w:tabs>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2.X线球管及支架系统</w:t>
      </w:r>
      <w:r>
        <w:rPr>
          <w:rFonts w:hint="eastAsia" w:ascii="宋体" w:hAnsi="宋体" w:eastAsia="宋体" w:cs="宋体"/>
          <w:snapToGrid/>
          <w:spacing w:val="0"/>
          <w:kern w:val="2"/>
          <w:sz w:val="24"/>
          <w:szCs w:val="24"/>
          <w:highlight w:val="none"/>
          <w:lang w:eastAsia="zh-CN"/>
        </w:rPr>
        <w:tab/>
      </w:r>
    </w:p>
    <w:p w14:paraId="6F8A8A75">
      <w:pPr>
        <w:pageBreakBefore w:val="0"/>
        <w:widowControl w:val="0"/>
        <w:kinsoku/>
        <w:wordWrap/>
        <w:overflowPunct/>
        <w:topLinePunct w:val="0"/>
        <w:autoSpaceDE/>
        <w:autoSpaceDN/>
        <w:bidi w:val="0"/>
        <w:adjustRightInd/>
        <w:snapToGrid/>
        <w:spacing w:line="360" w:lineRule="exact"/>
        <w:ind w:firstLine="240" w:firstLineChars="100"/>
        <w:jc w:val="both"/>
        <w:textAlignment w:val="auto"/>
        <w:outlineLvl w:val="9"/>
        <w:rPr>
          <w:rFonts w:hint="eastAsia" w:ascii="宋体" w:hAnsi="宋体" w:eastAsia="宋体" w:cs="宋体"/>
          <w:snapToGrid/>
          <w:spacing w:val="0"/>
          <w:kern w:val="2"/>
          <w:sz w:val="24"/>
          <w:szCs w:val="24"/>
          <w:highlight w:val="none"/>
          <w:lang w:val="en-US" w:eastAsia="zh-CN"/>
        </w:rPr>
      </w:pPr>
      <w:r>
        <w:rPr>
          <w:rFonts w:hint="eastAsia" w:ascii="宋体" w:hAnsi="宋体" w:eastAsia="宋体" w:cs="宋体"/>
          <w:snapToGrid/>
          <w:spacing w:val="0"/>
          <w:kern w:val="2"/>
          <w:sz w:val="24"/>
          <w:szCs w:val="24"/>
          <w:highlight w:val="none"/>
          <w:lang w:eastAsia="zh-CN"/>
        </w:rPr>
        <w:t>（1）落地式双立柱机械结构，非U臂或UC臂机架；</w:t>
      </w:r>
    </w:p>
    <w:p w14:paraId="773B3B84">
      <w:pPr>
        <w:pageBreakBefore w:val="0"/>
        <w:widowControl w:val="0"/>
        <w:kinsoku/>
        <w:wordWrap/>
        <w:overflowPunct/>
        <w:topLinePunct w:val="0"/>
        <w:autoSpaceDE/>
        <w:autoSpaceDN/>
        <w:bidi w:val="0"/>
        <w:adjustRightInd/>
        <w:snapToGrid/>
        <w:spacing w:line="360" w:lineRule="exact"/>
        <w:ind w:firstLine="240" w:firstLineChars="1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（2）靶角：≤13°；</w:t>
      </w:r>
    </w:p>
    <w:p w14:paraId="2E08CCE0">
      <w:pPr>
        <w:pageBreakBefore w:val="0"/>
        <w:widowControl w:val="0"/>
        <w:kinsoku/>
        <w:wordWrap/>
        <w:overflowPunct/>
        <w:topLinePunct w:val="0"/>
        <w:autoSpaceDE/>
        <w:autoSpaceDN/>
        <w:bidi w:val="0"/>
        <w:adjustRightInd/>
        <w:snapToGrid/>
        <w:spacing w:line="360" w:lineRule="exact"/>
        <w:ind w:firstLine="240" w:firstLineChars="1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（3）采用球管全包设计，以便保护球管。球管机头指针显示。提供整机图片证明；</w:t>
      </w:r>
    </w:p>
    <w:p w14:paraId="48C5F744">
      <w:pPr>
        <w:pageBreakBefore w:val="0"/>
        <w:widowControl w:val="0"/>
        <w:kinsoku/>
        <w:wordWrap/>
        <w:overflowPunct/>
        <w:topLinePunct w:val="0"/>
        <w:autoSpaceDE/>
        <w:autoSpaceDN/>
        <w:bidi w:val="0"/>
        <w:adjustRightInd/>
        <w:snapToGrid/>
        <w:spacing w:line="360" w:lineRule="exact"/>
        <w:ind w:firstLine="240" w:firstLineChars="1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（4）阳极转速≥2</w:t>
      </w:r>
      <w:r>
        <w:rPr>
          <w:rFonts w:hint="eastAsia" w:ascii="宋体" w:hAnsi="宋体" w:eastAsia="宋体" w:cs="宋体"/>
          <w:snapToGrid/>
          <w:spacing w:val="0"/>
          <w:kern w:val="2"/>
          <w:sz w:val="24"/>
          <w:szCs w:val="24"/>
          <w:highlight w:val="none"/>
          <w:lang w:val="en-US" w:eastAsia="zh-CN"/>
        </w:rPr>
        <w:t>8</w:t>
      </w:r>
      <w:r>
        <w:rPr>
          <w:rFonts w:hint="eastAsia" w:ascii="宋体" w:hAnsi="宋体" w:eastAsia="宋体" w:cs="宋体"/>
          <w:snapToGrid/>
          <w:spacing w:val="0"/>
          <w:kern w:val="2"/>
          <w:sz w:val="24"/>
          <w:szCs w:val="24"/>
          <w:highlight w:val="none"/>
          <w:lang w:eastAsia="zh-CN"/>
        </w:rPr>
        <w:t>00rpm；</w:t>
      </w:r>
    </w:p>
    <w:p w14:paraId="670C8870">
      <w:pPr>
        <w:pageBreakBefore w:val="0"/>
        <w:widowControl w:val="0"/>
        <w:kinsoku/>
        <w:wordWrap/>
        <w:overflowPunct/>
        <w:topLinePunct w:val="0"/>
        <w:autoSpaceDE/>
        <w:autoSpaceDN/>
        <w:bidi w:val="0"/>
        <w:adjustRightInd/>
        <w:snapToGrid/>
        <w:spacing w:line="360" w:lineRule="exact"/>
        <w:ind w:firstLine="240" w:firstLineChars="1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（5）球管绕垂直轴旋转≥±180°；</w:t>
      </w:r>
    </w:p>
    <w:p w14:paraId="51A08A79">
      <w:pPr>
        <w:pageBreakBefore w:val="0"/>
        <w:widowControl w:val="0"/>
        <w:kinsoku/>
        <w:wordWrap/>
        <w:overflowPunct/>
        <w:topLinePunct w:val="0"/>
        <w:autoSpaceDE/>
        <w:autoSpaceDN/>
        <w:bidi w:val="0"/>
        <w:adjustRightInd/>
        <w:snapToGrid/>
        <w:spacing w:line="360" w:lineRule="exact"/>
        <w:ind w:firstLine="240" w:firstLineChars="1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（6）球管绕水平轴旋转≥±180°；</w:t>
      </w:r>
    </w:p>
    <w:p w14:paraId="591B1432">
      <w:pPr>
        <w:pageBreakBefore w:val="0"/>
        <w:widowControl w:val="0"/>
        <w:kinsoku/>
        <w:wordWrap/>
        <w:overflowPunct/>
        <w:topLinePunct w:val="0"/>
        <w:autoSpaceDE/>
        <w:autoSpaceDN/>
        <w:bidi w:val="0"/>
        <w:adjustRightInd/>
        <w:snapToGrid/>
        <w:spacing w:line="360" w:lineRule="exact"/>
        <w:ind w:firstLine="240" w:firstLineChars="1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（7）球管垂直移动到最低处≤350mm（球管中心距地）；</w:t>
      </w:r>
    </w:p>
    <w:p w14:paraId="445691A3">
      <w:pPr>
        <w:pageBreakBefore w:val="0"/>
        <w:widowControl w:val="0"/>
        <w:kinsoku/>
        <w:wordWrap/>
        <w:overflowPunct/>
        <w:topLinePunct w:val="0"/>
        <w:autoSpaceDE/>
        <w:autoSpaceDN/>
        <w:bidi w:val="0"/>
        <w:adjustRightInd/>
        <w:snapToGrid/>
        <w:spacing w:line="360" w:lineRule="exact"/>
        <w:ind w:firstLine="240" w:firstLineChars="100"/>
        <w:jc w:val="both"/>
        <w:textAlignment w:val="auto"/>
        <w:outlineLvl w:val="9"/>
        <w:rPr>
          <w:rFonts w:hint="eastAsia" w:ascii="宋体" w:hAnsi="宋体" w:eastAsia="宋体" w:cs="宋体"/>
          <w:snapToGrid/>
          <w:spacing w:val="0"/>
          <w:kern w:val="2"/>
          <w:sz w:val="24"/>
          <w:szCs w:val="24"/>
          <w:highlight w:val="none"/>
          <w:lang w:val="en-US" w:eastAsia="zh-CN"/>
        </w:rPr>
      </w:pPr>
      <w:r>
        <w:rPr>
          <w:rFonts w:hint="eastAsia" w:ascii="宋体" w:hAnsi="宋体" w:eastAsia="宋体" w:cs="宋体"/>
          <w:snapToGrid/>
          <w:spacing w:val="0"/>
          <w:kern w:val="2"/>
          <w:sz w:val="24"/>
          <w:szCs w:val="24"/>
          <w:highlight w:val="none"/>
          <w:lang w:val="en-US" w:eastAsia="zh-CN"/>
        </w:rPr>
        <w:t>（8）球管垂直移动范围≥1350mm</w:t>
      </w:r>
    </w:p>
    <w:p w14:paraId="78EC50C7">
      <w:pPr>
        <w:pageBreakBefore w:val="0"/>
        <w:widowControl w:val="0"/>
        <w:tabs>
          <w:tab w:val="left" w:pos="816"/>
          <w:tab w:val="left" w:pos="2367"/>
        </w:tabs>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3.高压发生器</w:t>
      </w:r>
      <w:r>
        <w:rPr>
          <w:rFonts w:hint="eastAsia" w:ascii="宋体" w:hAnsi="宋体" w:eastAsia="宋体" w:cs="宋体"/>
          <w:snapToGrid/>
          <w:spacing w:val="0"/>
          <w:kern w:val="2"/>
          <w:sz w:val="24"/>
          <w:szCs w:val="24"/>
          <w:highlight w:val="none"/>
          <w:lang w:eastAsia="zh-CN"/>
        </w:rPr>
        <w:tab/>
      </w:r>
      <w:bookmarkStart w:id="107" w:name="_Toc7940"/>
    </w:p>
    <w:p w14:paraId="0B1254AB">
      <w:pPr>
        <w:keepNext w:val="0"/>
        <w:keepLines w:val="0"/>
        <w:pageBreakBefore w:val="0"/>
        <w:widowControl w:val="0"/>
        <w:tabs>
          <w:tab w:val="left" w:pos="816"/>
          <w:tab w:val="left" w:pos="2367"/>
        </w:tabs>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r>
        <w:rPr>
          <w:rFonts w:hint="eastAsia" w:ascii="宋体" w:hAnsi="宋体" w:eastAsia="宋体" w:cs="宋体"/>
          <w:b w:val="0"/>
          <w:bCs/>
          <w:spacing w:val="0"/>
          <w:kern w:val="2"/>
          <w:sz w:val="24"/>
          <w:szCs w:val="24"/>
          <w:highlight w:val="none"/>
          <w:lang w:val="en-US" w:eastAsia="zh-CN" w:bidi="ar-SA"/>
        </w:rPr>
        <w:t>（1）高压发生器的操作与控制系统完全与主机集成，在图像采集工作站上控制曝光参数；</w:t>
      </w:r>
      <w:bookmarkEnd w:id="107"/>
    </w:p>
    <w:p w14:paraId="17462B1E">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08" w:name="_Toc16465"/>
      <w:r>
        <w:rPr>
          <w:rFonts w:hint="eastAsia" w:ascii="宋体" w:hAnsi="宋体" w:eastAsia="宋体" w:cs="宋体"/>
          <w:b w:val="0"/>
          <w:bCs/>
          <w:spacing w:val="0"/>
          <w:kern w:val="2"/>
          <w:sz w:val="24"/>
          <w:szCs w:val="24"/>
          <w:highlight w:val="none"/>
          <w:lang w:val="en-US" w:eastAsia="zh-CN" w:bidi="ar-SA"/>
        </w:rPr>
        <w:t>（2）逆变频率≥460kHz；</w:t>
      </w:r>
      <w:bookmarkEnd w:id="108"/>
    </w:p>
    <w:p w14:paraId="230FE5BA">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09" w:name="_Toc16064"/>
      <w:r>
        <w:rPr>
          <w:rFonts w:hint="eastAsia" w:ascii="宋体" w:hAnsi="宋体" w:eastAsia="宋体" w:cs="宋体"/>
          <w:b w:val="0"/>
          <w:bCs/>
          <w:spacing w:val="0"/>
          <w:kern w:val="2"/>
          <w:sz w:val="24"/>
          <w:szCs w:val="24"/>
          <w:highlight w:val="none"/>
          <w:lang w:val="en-US" w:eastAsia="zh-CN" w:bidi="ar-SA"/>
        </w:rPr>
        <w:t>（3）千伏范围:40—150KV；</w:t>
      </w:r>
      <w:bookmarkEnd w:id="109"/>
    </w:p>
    <w:p w14:paraId="4B01C8D2">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10" w:name="_Toc9115"/>
      <w:r>
        <w:rPr>
          <w:rFonts w:hint="eastAsia" w:ascii="宋体" w:hAnsi="宋体" w:eastAsia="宋体" w:cs="宋体"/>
          <w:b w:val="0"/>
          <w:bCs/>
          <w:spacing w:val="0"/>
          <w:kern w:val="2"/>
          <w:sz w:val="24"/>
          <w:szCs w:val="24"/>
          <w:highlight w:val="none"/>
          <w:lang w:val="en-US" w:eastAsia="zh-CN" w:bidi="ar-SA"/>
        </w:rPr>
        <w:t>（4）具有器官程序摄影（APR）功能，摄影程序数量≥1000种；</w:t>
      </w:r>
      <w:bookmarkEnd w:id="110"/>
    </w:p>
    <w:p w14:paraId="2BBAFB45">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11" w:name="_Toc32514"/>
      <w:r>
        <w:rPr>
          <w:rFonts w:hint="eastAsia" w:ascii="宋体" w:hAnsi="宋体" w:eastAsia="宋体" w:cs="宋体"/>
          <w:b w:val="0"/>
          <w:bCs/>
          <w:spacing w:val="0"/>
          <w:kern w:val="2"/>
          <w:sz w:val="24"/>
          <w:szCs w:val="24"/>
          <w:highlight w:val="none"/>
          <w:lang w:val="en-US" w:eastAsia="zh-CN" w:bidi="ar-SA"/>
        </w:rPr>
        <w:t>（5）曝光时间范围：最短系统曝光时间≤1ms；</w:t>
      </w:r>
      <w:bookmarkEnd w:id="111"/>
    </w:p>
    <w:p w14:paraId="6F1835B5">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12" w:name="_Toc3990"/>
      <w:r>
        <w:rPr>
          <w:rFonts w:hint="eastAsia" w:ascii="宋体" w:hAnsi="宋体" w:eastAsia="宋体" w:cs="宋体"/>
          <w:b w:val="0"/>
          <w:bCs/>
          <w:spacing w:val="0"/>
          <w:kern w:val="2"/>
          <w:sz w:val="24"/>
          <w:szCs w:val="24"/>
          <w:highlight w:val="none"/>
          <w:lang w:val="en-US" w:eastAsia="zh-CN" w:bidi="ar-SA"/>
        </w:rPr>
        <w:t>（6）最大输出电流≥500mA；</w:t>
      </w:r>
      <w:bookmarkEnd w:id="112"/>
    </w:p>
    <w:p w14:paraId="6261285A">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13" w:name="_Toc29557"/>
      <w:r>
        <w:rPr>
          <w:rFonts w:hint="eastAsia" w:ascii="宋体" w:hAnsi="宋体" w:eastAsia="宋体" w:cs="宋体"/>
          <w:b w:val="0"/>
          <w:bCs/>
          <w:spacing w:val="0"/>
          <w:kern w:val="2"/>
          <w:sz w:val="24"/>
          <w:szCs w:val="24"/>
          <w:highlight w:val="none"/>
          <w:lang w:val="en-US" w:eastAsia="zh-CN" w:bidi="ar-SA"/>
        </w:rPr>
        <w:t>（7）最小电流时间积≤0.1mAs；</w:t>
      </w:r>
      <w:bookmarkEnd w:id="113"/>
    </w:p>
    <w:p w14:paraId="1AD52E74">
      <w:pPr>
        <w:keepNext w:val="0"/>
        <w:keepLines w:val="0"/>
        <w:pageBreakBefore w:val="0"/>
        <w:widowControl w:val="0"/>
        <w:tabs>
          <w:tab w:val="left" w:pos="816"/>
          <w:tab w:val="left" w:pos="2367"/>
        </w:tabs>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4.平板探测器</w:t>
      </w:r>
      <w:r>
        <w:rPr>
          <w:rFonts w:hint="eastAsia" w:ascii="宋体" w:hAnsi="宋体" w:eastAsia="宋体" w:cs="宋体"/>
          <w:snapToGrid/>
          <w:spacing w:val="0"/>
          <w:kern w:val="2"/>
          <w:sz w:val="24"/>
          <w:szCs w:val="24"/>
          <w:highlight w:val="none"/>
          <w:lang w:eastAsia="zh-CN"/>
        </w:rPr>
        <w:tab/>
      </w:r>
      <w:bookmarkStart w:id="114" w:name="_Toc19764"/>
    </w:p>
    <w:p w14:paraId="1D6B5CBF">
      <w:pPr>
        <w:keepNext w:val="0"/>
        <w:keepLines w:val="0"/>
        <w:pageBreakBefore w:val="0"/>
        <w:widowControl w:val="0"/>
        <w:tabs>
          <w:tab w:val="left" w:pos="816"/>
          <w:tab w:val="left" w:pos="2367"/>
        </w:tabs>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r>
        <w:rPr>
          <w:rFonts w:hint="eastAsia" w:ascii="宋体" w:hAnsi="宋体" w:eastAsia="宋体" w:cs="宋体"/>
          <w:b w:val="0"/>
          <w:bCs/>
          <w:spacing w:val="0"/>
          <w:kern w:val="2"/>
          <w:sz w:val="24"/>
          <w:szCs w:val="24"/>
          <w:highlight w:val="none"/>
          <w:lang w:val="en-US" w:eastAsia="zh-CN" w:bidi="ar-SA"/>
        </w:rPr>
        <w:t>（1）总像素：平板≥780万；</w:t>
      </w:r>
      <w:bookmarkEnd w:id="114"/>
    </w:p>
    <w:p w14:paraId="23BF72F2">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15" w:name="_Toc7504"/>
      <w:r>
        <w:rPr>
          <w:rFonts w:hint="eastAsia" w:ascii="宋体" w:hAnsi="宋体" w:eastAsia="宋体" w:cs="宋体"/>
          <w:b w:val="0"/>
          <w:bCs/>
          <w:spacing w:val="0"/>
          <w:kern w:val="2"/>
          <w:sz w:val="24"/>
          <w:szCs w:val="24"/>
          <w:highlight w:val="none"/>
          <w:lang w:val="en-US" w:eastAsia="zh-CN" w:bidi="ar-SA"/>
        </w:rPr>
        <w:t>（2）平板探测器表面承重：≥200kg；</w:t>
      </w:r>
      <w:bookmarkEnd w:id="115"/>
    </w:p>
    <w:p w14:paraId="44DF8B50">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16" w:name="_Toc3230"/>
      <w:r>
        <w:rPr>
          <w:rFonts w:hint="eastAsia" w:ascii="宋体" w:hAnsi="宋体" w:eastAsia="宋体" w:cs="宋体"/>
          <w:b w:val="0"/>
          <w:bCs/>
          <w:spacing w:val="0"/>
          <w:kern w:val="2"/>
          <w:sz w:val="24"/>
          <w:szCs w:val="24"/>
          <w:highlight w:val="none"/>
          <w:lang w:val="en-US" w:eastAsia="zh-CN" w:bidi="ar-SA"/>
        </w:rPr>
        <w:t>（3）像素尺寸≤140um；</w:t>
      </w:r>
      <w:bookmarkEnd w:id="116"/>
    </w:p>
    <w:p w14:paraId="7CC93EA6">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17" w:name="_Toc30914"/>
      <w:r>
        <w:rPr>
          <w:rFonts w:hint="eastAsia" w:ascii="宋体" w:hAnsi="宋体" w:eastAsia="宋体" w:cs="宋体"/>
          <w:b w:val="0"/>
          <w:bCs/>
          <w:spacing w:val="0"/>
          <w:kern w:val="2"/>
          <w:sz w:val="24"/>
          <w:szCs w:val="24"/>
          <w:highlight w:val="none"/>
          <w:lang w:val="en-US" w:eastAsia="zh-CN" w:bidi="ar-SA"/>
        </w:rPr>
        <w:t>（4）采集灰阶度≥16bits；</w:t>
      </w:r>
      <w:bookmarkEnd w:id="117"/>
    </w:p>
    <w:p w14:paraId="357962BC">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18" w:name="_Toc15202"/>
      <w:r>
        <w:rPr>
          <w:rFonts w:hint="eastAsia" w:ascii="宋体" w:hAnsi="宋体" w:eastAsia="宋体" w:cs="宋体"/>
          <w:b w:val="0"/>
          <w:bCs/>
          <w:spacing w:val="0"/>
          <w:kern w:val="2"/>
          <w:sz w:val="24"/>
          <w:szCs w:val="24"/>
          <w:highlight w:val="none"/>
          <w:lang w:val="en-US" w:eastAsia="zh-CN" w:bidi="ar-SA"/>
        </w:rPr>
        <w:t>（5）空间分辨率≥3.6lp/mm；</w:t>
      </w:r>
      <w:bookmarkEnd w:id="118"/>
    </w:p>
    <w:p w14:paraId="4CE79B52">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19" w:name="_Toc32457"/>
      <w:r>
        <w:rPr>
          <w:rFonts w:hint="eastAsia" w:ascii="宋体" w:hAnsi="宋体" w:eastAsia="宋体" w:cs="宋体"/>
          <w:b w:val="0"/>
          <w:bCs/>
          <w:spacing w:val="0"/>
          <w:kern w:val="2"/>
          <w:sz w:val="24"/>
          <w:szCs w:val="24"/>
          <w:highlight w:val="none"/>
          <w:lang w:val="en-US" w:eastAsia="zh-CN" w:bidi="ar-SA"/>
        </w:rPr>
        <w:t>（6）平板防水防尘等级：≥IP54；</w:t>
      </w:r>
      <w:bookmarkEnd w:id="119"/>
    </w:p>
    <w:p w14:paraId="2FAC88DC">
      <w:pPr>
        <w:keepNext w:val="0"/>
        <w:keepLines w:val="0"/>
        <w:pageBreakBefore w:val="0"/>
        <w:widowControl w:val="0"/>
        <w:tabs>
          <w:tab w:val="left" w:pos="816"/>
          <w:tab w:val="left" w:pos="2367"/>
        </w:tabs>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5.</w:t>
      </w:r>
      <w:r>
        <w:rPr>
          <w:rFonts w:hint="eastAsia" w:ascii="宋体" w:hAnsi="宋体" w:eastAsia="宋体" w:cs="宋体"/>
          <w:snapToGrid/>
          <w:spacing w:val="0"/>
          <w:kern w:val="2"/>
          <w:sz w:val="24"/>
          <w:szCs w:val="24"/>
          <w:highlight w:val="none"/>
          <w:lang w:eastAsia="zh-CN"/>
        </w:rPr>
        <w:tab/>
      </w:r>
      <w:r>
        <w:rPr>
          <w:rFonts w:hint="eastAsia" w:ascii="宋体" w:hAnsi="宋体" w:eastAsia="宋体" w:cs="宋体"/>
          <w:snapToGrid/>
          <w:spacing w:val="0"/>
          <w:kern w:val="2"/>
          <w:sz w:val="24"/>
          <w:szCs w:val="24"/>
          <w:highlight w:val="none"/>
          <w:lang w:eastAsia="zh-CN"/>
        </w:rPr>
        <w:t>胸片架</w:t>
      </w:r>
      <w:bookmarkStart w:id="120" w:name="_Toc29038"/>
    </w:p>
    <w:p w14:paraId="1CC4A934">
      <w:pPr>
        <w:keepNext w:val="0"/>
        <w:keepLines w:val="0"/>
        <w:pageBreakBefore w:val="0"/>
        <w:widowControl w:val="0"/>
        <w:tabs>
          <w:tab w:val="left" w:pos="816"/>
          <w:tab w:val="left" w:pos="2367"/>
        </w:tabs>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r>
        <w:rPr>
          <w:rFonts w:hint="eastAsia" w:ascii="宋体" w:hAnsi="宋体" w:eastAsia="宋体" w:cs="宋体"/>
          <w:b w:val="0"/>
          <w:bCs/>
          <w:spacing w:val="0"/>
          <w:kern w:val="2"/>
          <w:sz w:val="24"/>
          <w:szCs w:val="24"/>
          <w:highlight w:val="none"/>
          <w:lang w:val="en-US" w:eastAsia="zh-CN" w:bidi="ar-SA"/>
        </w:rPr>
        <w:t>（1）摄影台垂直移动范围≥1450mm；</w:t>
      </w:r>
      <w:bookmarkEnd w:id="120"/>
    </w:p>
    <w:p w14:paraId="3B962B13">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21" w:name="_Toc1767"/>
      <w:r>
        <w:rPr>
          <w:rFonts w:hint="eastAsia" w:ascii="宋体" w:hAnsi="宋体" w:eastAsia="宋体" w:cs="宋体"/>
          <w:b w:val="0"/>
          <w:bCs/>
          <w:spacing w:val="0"/>
          <w:kern w:val="2"/>
          <w:sz w:val="24"/>
          <w:szCs w:val="24"/>
          <w:highlight w:val="none"/>
          <w:lang w:val="en-US" w:eastAsia="zh-CN" w:bidi="ar-SA"/>
        </w:rPr>
        <w:t>（2）探测器中心的标线距地最低≤360mm；</w:t>
      </w:r>
      <w:bookmarkEnd w:id="121"/>
    </w:p>
    <w:p w14:paraId="019494A6">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22" w:name="_Toc21109"/>
      <w:r>
        <w:rPr>
          <w:rFonts w:hint="eastAsia" w:ascii="宋体" w:hAnsi="宋体" w:eastAsia="宋体" w:cs="宋体"/>
          <w:b w:val="0"/>
          <w:bCs/>
          <w:spacing w:val="0"/>
          <w:kern w:val="2"/>
          <w:sz w:val="24"/>
          <w:szCs w:val="24"/>
          <w:highlight w:val="none"/>
          <w:lang w:val="en-US" w:eastAsia="zh-CN" w:bidi="ar-SA"/>
        </w:rPr>
        <w:t>（3）支持平板在线自动充电，支持任意放置均可充电，无需考虑无线平板探测器的插入方向；</w:t>
      </w:r>
      <w:bookmarkEnd w:id="122"/>
    </w:p>
    <w:p w14:paraId="6B6E2B6D">
      <w:pPr>
        <w:keepNext w:val="0"/>
        <w:keepLines w:val="0"/>
        <w:pageBreakBefore w:val="0"/>
        <w:widowControl w:val="0"/>
        <w:tabs>
          <w:tab w:val="left" w:pos="816"/>
          <w:tab w:val="left" w:pos="2367"/>
        </w:tabs>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eastAsia="zh-CN"/>
        </w:rPr>
        <w:t>6.固定摄影床</w:t>
      </w:r>
      <w:r>
        <w:rPr>
          <w:rFonts w:hint="eastAsia" w:ascii="宋体" w:hAnsi="宋体" w:eastAsia="宋体" w:cs="宋体"/>
          <w:snapToGrid/>
          <w:spacing w:val="0"/>
          <w:kern w:val="2"/>
          <w:sz w:val="24"/>
          <w:szCs w:val="24"/>
          <w:highlight w:val="none"/>
          <w:lang w:eastAsia="zh-CN"/>
        </w:rPr>
        <w:tab/>
      </w:r>
      <w:bookmarkStart w:id="123" w:name="_Toc3915"/>
    </w:p>
    <w:p w14:paraId="4E5A539C">
      <w:pPr>
        <w:keepNext w:val="0"/>
        <w:keepLines w:val="0"/>
        <w:pageBreakBefore w:val="0"/>
        <w:widowControl w:val="0"/>
        <w:tabs>
          <w:tab w:val="left" w:pos="816"/>
          <w:tab w:val="left" w:pos="2367"/>
        </w:tabs>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r>
        <w:rPr>
          <w:rFonts w:hint="eastAsia" w:ascii="宋体" w:hAnsi="宋体" w:eastAsia="宋体" w:cs="宋体"/>
          <w:b w:val="0"/>
          <w:bCs/>
          <w:spacing w:val="0"/>
          <w:kern w:val="2"/>
          <w:sz w:val="24"/>
          <w:szCs w:val="24"/>
          <w:highlight w:val="none"/>
          <w:lang w:val="en-US" w:eastAsia="zh-CN" w:bidi="ar-SA"/>
        </w:rPr>
        <w:t>（1）配备固定式摄影床，非移动式；</w:t>
      </w:r>
      <w:bookmarkEnd w:id="123"/>
    </w:p>
    <w:p w14:paraId="0EDB415B">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24" w:name="_Toc28661"/>
      <w:r>
        <w:rPr>
          <w:rFonts w:hint="eastAsia" w:ascii="宋体" w:hAnsi="宋体" w:eastAsia="宋体" w:cs="宋体"/>
          <w:b w:val="0"/>
          <w:bCs/>
          <w:spacing w:val="0"/>
          <w:kern w:val="2"/>
          <w:sz w:val="24"/>
          <w:szCs w:val="24"/>
          <w:highlight w:val="none"/>
          <w:lang w:val="en-US" w:eastAsia="zh-CN" w:bidi="ar-SA"/>
        </w:rPr>
        <w:t>（2）床面高度≤650mm；</w:t>
      </w:r>
      <w:bookmarkEnd w:id="124"/>
    </w:p>
    <w:p w14:paraId="618110A0">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25" w:name="_Toc26469"/>
      <w:r>
        <w:rPr>
          <w:rFonts w:hint="eastAsia" w:ascii="宋体" w:hAnsi="宋体" w:eastAsia="宋体" w:cs="宋体"/>
          <w:b w:val="0"/>
          <w:bCs/>
          <w:spacing w:val="0"/>
          <w:kern w:val="2"/>
          <w:sz w:val="24"/>
          <w:szCs w:val="24"/>
          <w:highlight w:val="none"/>
          <w:lang w:val="en-US" w:eastAsia="zh-CN" w:bidi="ar-SA"/>
        </w:rPr>
        <w:t>（3）四向浮动床面板，浮动床面移动范围：纵向≥900mm;</w:t>
      </w:r>
      <w:bookmarkEnd w:id="125"/>
    </w:p>
    <w:p w14:paraId="24272687">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26" w:name="_Toc22522"/>
      <w:r>
        <w:rPr>
          <w:rFonts w:hint="eastAsia" w:ascii="宋体" w:hAnsi="宋体" w:eastAsia="宋体" w:cs="宋体"/>
          <w:b w:val="0"/>
          <w:bCs/>
          <w:spacing w:val="0"/>
          <w:kern w:val="2"/>
          <w:sz w:val="24"/>
          <w:szCs w:val="24"/>
          <w:highlight w:val="none"/>
          <w:lang w:val="en-US" w:eastAsia="zh-CN" w:bidi="ar-SA"/>
        </w:rPr>
        <w:t>（4）横向≥250mm；</w:t>
      </w:r>
      <w:bookmarkEnd w:id="126"/>
    </w:p>
    <w:p w14:paraId="55A2019E">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27" w:name="_Toc22530"/>
      <w:r>
        <w:rPr>
          <w:rFonts w:hint="eastAsia" w:ascii="宋体" w:hAnsi="宋体" w:eastAsia="宋体" w:cs="宋体"/>
          <w:b w:val="0"/>
          <w:bCs/>
          <w:spacing w:val="0"/>
          <w:kern w:val="2"/>
          <w:sz w:val="24"/>
          <w:szCs w:val="24"/>
          <w:highlight w:val="none"/>
          <w:lang w:val="en-US" w:eastAsia="zh-CN" w:bidi="ar-SA"/>
        </w:rPr>
        <w:t>（5）床面最大承重≥260kg；</w:t>
      </w:r>
      <w:bookmarkEnd w:id="127"/>
    </w:p>
    <w:p w14:paraId="3802B09F">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28" w:name="_Toc8003"/>
      <w:r>
        <w:rPr>
          <w:rFonts w:hint="eastAsia" w:ascii="宋体" w:hAnsi="宋体" w:eastAsia="宋体" w:cs="宋体"/>
          <w:b w:val="0"/>
          <w:bCs/>
          <w:spacing w:val="0"/>
          <w:kern w:val="2"/>
          <w:sz w:val="24"/>
          <w:szCs w:val="24"/>
          <w:highlight w:val="none"/>
          <w:lang w:val="en-US" w:eastAsia="zh-CN" w:bidi="ar-SA"/>
        </w:rPr>
        <w:t>（6）高压内置：体现一体化设计，高压内置于床下，操作更便利；</w:t>
      </w:r>
      <w:bookmarkEnd w:id="128"/>
    </w:p>
    <w:p w14:paraId="6EF05BFD">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29" w:name="_Toc32099"/>
      <w:r>
        <w:rPr>
          <w:rFonts w:hint="eastAsia" w:ascii="宋体" w:hAnsi="宋体" w:eastAsia="宋体" w:cs="宋体"/>
          <w:b w:val="0"/>
          <w:bCs/>
          <w:spacing w:val="0"/>
          <w:kern w:val="2"/>
          <w:sz w:val="24"/>
          <w:szCs w:val="24"/>
          <w:highlight w:val="none"/>
          <w:lang w:val="en-US" w:eastAsia="zh-CN" w:bidi="ar-SA"/>
        </w:rPr>
        <w:t>（7）支持平板在线自动充电，支持任意放置均可充电，无需考虑无线平板探测器的插入方向；</w:t>
      </w:r>
      <w:bookmarkEnd w:id="129"/>
    </w:p>
    <w:p w14:paraId="5D8BE43D">
      <w:pPr>
        <w:keepNext w:val="0"/>
        <w:keepLines w:val="0"/>
        <w:pageBreakBefore w:val="0"/>
        <w:widowControl w:val="0"/>
        <w:tabs>
          <w:tab w:val="left" w:pos="816"/>
          <w:tab w:val="left" w:pos="2367"/>
        </w:tabs>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snapToGrid/>
          <w:spacing w:val="0"/>
          <w:kern w:val="2"/>
          <w:sz w:val="24"/>
          <w:szCs w:val="24"/>
          <w:highlight w:val="none"/>
          <w:lang w:eastAsia="zh-CN"/>
        </w:rPr>
      </w:pPr>
      <w:r>
        <w:rPr>
          <w:rFonts w:hint="eastAsia" w:ascii="宋体" w:hAnsi="宋体" w:eastAsia="宋体" w:cs="宋体"/>
          <w:snapToGrid/>
          <w:spacing w:val="0"/>
          <w:kern w:val="2"/>
          <w:sz w:val="24"/>
          <w:szCs w:val="24"/>
          <w:highlight w:val="none"/>
          <w:lang w:val="en-US" w:eastAsia="zh-CN"/>
        </w:rPr>
        <w:t>7.</w:t>
      </w:r>
      <w:r>
        <w:rPr>
          <w:rFonts w:hint="eastAsia" w:ascii="宋体" w:hAnsi="宋体" w:eastAsia="宋体" w:cs="宋体"/>
          <w:snapToGrid/>
          <w:spacing w:val="0"/>
          <w:kern w:val="2"/>
          <w:sz w:val="24"/>
          <w:szCs w:val="24"/>
          <w:highlight w:val="none"/>
          <w:lang w:eastAsia="zh-CN"/>
        </w:rPr>
        <w:t>图像采集工作站</w:t>
      </w:r>
    </w:p>
    <w:p w14:paraId="1F56F97F">
      <w:pPr>
        <w:keepNext w:val="0"/>
        <w:keepLines w:val="0"/>
        <w:pageBreakBefore w:val="0"/>
        <w:widowControl w:val="0"/>
        <w:tabs>
          <w:tab w:val="left" w:pos="816"/>
          <w:tab w:val="left" w:pos="2367"/>
        </w:tabs>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30" w:name="_Toc27020"/>
      <w:r>
        <w:rPr>
          <w:rFonts w:hint="eastAsia" w:ascii="宋体" w:hAnsi="宋体" w:eastAsia="宋体" w:cs="宋体"/>
          <w:b w:val="0"/>
          <w:bCs/>
          <w:spacing w:val="0"/>
          <w:kern w:val="2"/>
          <w:sz w:val="24"/>
          <w:szCs w:val="24"/>
          <w:highlight w:val="none"/>
          <w:lang w:val="en-US" w:eastAsia="zh-CN" w:bidi="ar-SA"/>
        </w:rPr>
        <w:t>（1）windows操作系统；</w:t>
      </w:r>
      <w:bookmarkEnd w:id="130"/>
    </w:p>
    <w:p w14:paraId="2C3A61EB">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31" w:name="_Toc27369"/>
      <w:r>
        <w:rPr>
          <w:rFonts w:hint="eastAsia" w:ascii="宋体" w:hAnsi="宋体" w:eastAsia="宋体" w:cs="宋体"/>
          <w:b w:val="0"/>
          <w:bCs/>
          <w:spacing w:val="0"/>
          <w:kern w:val="2"/>
          <w:sz w:val="24"/>
          <w:szCs w:val="24"/>
          <w:highlight w:val="none"/>
          <w:lang w:val="en-US" w:eastAsia="zh-CN" w:bidi="ar-SA"/>
        </w:rPr>
        <w:t>（2）操作界面语言采用中文设计；</w:t>
      </w:r>
      <w:bookmarkEnd w:id="131"/>
    </w:p>
    <w:p w14:paraId="4EFBD193">
      <w:pPr>
        <w:keepNext w:val="0"/>
        <w:keepLines w:val="0"/>
        <w:pageBreakBefore w:val="0"/>
        <w:widowControl w:val="0"/>
        <w:kinsoku/>
        <w:wordWrap/>
        <w:overflowPunct/>
        <w:topLinePunct w:val="0"/>
        <w:autoSpaceDE/>
        <w:autoSpaceDN/>
        <w:bidi w:val="0"/>
        <w:adjustRightInd/>
        <w:snapToGrid/>
        <w:spacing w:before="0" w:after="0" w:line="360" w:lineRule="exact"/>
        <w:ind w:firstLine="480" w:firstLineChars="200"/>
        <w:jc w:val="both"/>
        <w:textAlignment w:val="auto"/>
        <w:outlineLvl w:val="9"/>
        <w:rPr>
          <w:rFonts w:hint="eastAsia" w:ascii="宋体" w:hAnsi="宋体" w:eastAsia="宋体" w:cs="宋体"/>
          <w:b w:val="0"/>
          <w:bCs/>
          <w:spacing w:val="0"/>
          <w:kern w:val="2"/>
          <w:sz w:val="24"/>
          <w:szCs w:val="24"/>
          <w:highlight w:val="none"/>
          <w:lang w:val="en-US" w:eastAsia="zh-CN" w:bidi="ar-SA"/>
        </w:rPr>
      </w:pPr>
      <w:bookmarkStart w:id="132" w:name="_Toc18679"/>
      <w:r>
        <w:rPr>
          <w:rFonts w:hint="eastAsia" w:ascii="宋体" w:hAnsi="宋体" w:eastAsia="宋体" w:cs="宋体"/>
          <w:b w:val="0"/>
          <w:bCs/>
          <w:spacing w:val="0"/>
          <w:kern w:val="2"/>
          <w:sz w:val="24"/>
          <w:szCs w:val="24"/>
          <w:highlight w:val="none"/>
          <w:lang w:val="en-US" w:eastAsia="zh-CN" w:bidi="ar-SA"/>
        </w:rPr>
        <w:t>（3）高压发生器控制与系统操作高度集成，可在系统界面上进行高压发生器曝光参数的调节、设置和显示；</w:t>
      </w:r>
      <w:bookmarkEnd w:id="132"/>
    </w:p>
    <w:p w14:paraId="0D4BC78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napToGrid/>
          <w:kern w:val="2"/>
          <w:sz w:val="24"/>
          <w:szCs w:val="24"/>
          <w:lang w:eastAsia="zh-CN"/>
        </w:rPr>
      </w:pP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b w:val="0"/>
          <w:bCs/>
          <w:snapToGrid/>
          <w:spacing w:val="0"/>
          <w:kern w:val="2"/>
          <w:sz w:val="24"/>
          <w:szCs w:val="24"/>
          <w:highlight w:val="none"/>
          <w:lang w:val="en-US" w:eastAsia="zh-CN"/>
        </w:rPr>
        <w:t>4</w:t>
      </w: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snapToGrid/>
          <w:kern w:val="2"/>
          <w:sz w:val="24"/>
          <w:szCs w:val="24"/>
          <w:lang w:eastAsia="zh-CN"/>
        </w:rPr>
        <w:t>具备患者信息登记、编辑功能；</w:t>
      </w:r>
    </w:p>
    <w:p w14:paraId="12DCFD0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napToGrid/>
          <w:kern w:val="2"/>
          <w:sz w:val="24"/>
          <w:szCs w:val="24"/>
          <w:lang w:eastAsia="zh-CN"/>
        </w:rPr>
      </w:pP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b w:val="0"/>
          <w:bCs/>
          <w:snapToGrid/>
          <w:spacing w:val="0"/>
          <w:kern w:val="2"/>
          <w:sz w:val="24"/>
          <w:szCs w:val="24"/>
          <w:highlight w:val="none"/>
          <w:lang w:val="en-US" w:eastAsia="zh-CN"/>
        </w:rPr>
        <w:t>5</w:t>
      </w: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snapToGrid/>
          <w:kern w:val="2"/>
          <w:sz w:val="24"/>
          <w:szCs w:val="24"/>
          <w:lang w:eastAsia="zh-CN"/>
        </w:rPr>
        <w:t>具备曝光参数调节功能；</w:t>
      </w:r>
    </w:p>
    <w:p w14:paraId="5FC5A294">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napToGrid/>
          <w:kern w:val="2"/>
          <w:sz w:val="24"/>
          <w:szCs w:val="24"/>
          <w:lang w:eastAsia="zh-CN"/>
        </w:rPr>
      </w:pP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b w:val="0"/>
          <w:bCs/>
          <w:snapToGrid/>
          <w:spacing w:val="0"/>
          <w:kern w:val="2"/>
          <w:sz w:val="24"/>
          <w:szCs w:val="24"/>
          <w:highlight w:val="none"/>
          <w:lang w:val="en-US" w:eastAsia="zh-CN"/>
        </w:rPr>
        <w:t>6</w:t>
      </w: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snapToGrid/>
          <w:kern w:val="2"/>
          <w:sz w:val="24"/>
          <w:szCs w:val="24"/>
          <w:lang w:eastAsia="zh-CN"/>
        </w:rPr>
        <w:t>具备3D投照体位示意图；</w:t>
      </w:r>
    </w:p>
    <w:p w14:paraId="07B26CE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napToGrid/>
          <w:kern w:val="2"/>
          <w:sz w:val="24"/>
          <w:szCs w:val="24"/>
          <w:lang w:eastAsia="zh-CN"/>
        </w:rPr>
      </w:pP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b w:val="0"/>
          <w:bCs/>
          <w:snapToGrid/>
          <w:spacing w:val="0"/>
          <w:kern w:val="2"/>
          <w:sz w:val="24"/>
          <w:szCs w:val="24"/>
          <w:highlight w:val="none"/>
          <w:lang w:val="en-US" w:eastAsia="zh-CN"/>
        </w:rPr>
        <w:t>7</w:t>
      </w: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snapToGrid/>
          <w:kern w:val="2"/>
          <w:sz w:val="24"/>
          <w:szCs w:val="24"/>
          <w:lang w:eastAsia="zh-CN"/>
        </w:rPr>
        <w:t>图像显示/查看/处理；</w:t>
      </w:r>
    </w:p>
    <w:p w14:paraId="561C1C03">
      <w:pPr>
        <w:keepNext w:val="0"/>
        <w:keepLines w:val="0"/>
        <w:pageBreakBefore w:val="0"/>
        <w:widowControl w:val="0"/>
        <w:tabs>
          <w:tab w:val="center" w:pos="2864"/>
        </w:tabs>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napToGrid/>
          <w:kern w:val="2"/>
          <w:sz w:val="24"/>
          <w:szCs w:val="24"/>
          <w:lang w:eastAsia="zh-CN"/>
        </w:rPr>
      </w:pP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b w:val="0"/>
          <w:bCs/>
          <w:snapToGrid/>
          <w:spacing w:val="0"/>
          <w:kern w:val="2"/>
          <w:sz w:val="24"/>
          <w:szCs w:val="24"/>
          <w:highlight w:val="none"/>
          <w:lang w:val="en-US" w:eastAsia="zh-CN"/>
        </w:rPr>
        <w:t>8</w:t>
      </w: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snapToGrid/>
          <w:kern w:val="2"/>
          <w:sz w:val="24"/>
          <w:szCs w:val="24"/>
          <w:lang w:eastAsia="zh-CN"/>
        </w:rPr>
        <w:t>图像支持任意角度旋转；</w:t>
      </w:r>
    </w:p>
    <w:p w14:paraId="55FDB92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napToGrid/>
          <w:kern w:val="2"/>
          <w:sz w:val="24"/>
          <w:szCs w:val="24"/>
          <w:lang w:eastAsia="zh-CN"/>
        </w:rPr>
      </w:pP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b w:val="0"/>
          <w:bCs/>
          <w:snapToGrid/>
          <w:spacing w:val="0"/>
          <w:kern w:val="2"/>
          <w:sz w:val="24"/>
          <w:szCs w:val="24"/>
          <w:highlight w:val="none"/>
          <w:lang w:val="en-US" w:eastAsia="zh-CN"/>
        </w:rPr>
        <w:t>9</w:t>
      </w: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snapToGrid/>
          <w:kern w:val="2"/>
          <w:sz w:val="24"/>
          <w:szCs w:val="24"/>
          <w:lang w:eastAsia="zh-CN"/>
        </w:rPr>
        <w:t>数据备份定期提醒，自动清理；</w:t>
      </w:r>
    </w:p>
    <w:p w14:paraId="60366AF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snapToGrid/>
          <w:kern w:val="2"/>
          <w:sz w:val="24"/>
          <w:szCs w:val="24"/>
          <w:lang w:eastAsia="zh-CN"/>
        </w:rPr>
      </w:pP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b w:val="0"/>
          <w:bCs/>
          <w:snapToGrid/>
          <w:spacing w:val="0"/>
          <w:kern w:val="2"/>
          <w:sz w:val="24"/>
          <w:szCs w:val="24"/>
          <w:highlight w:val="none"/>
          <w:lang w:val="en-US" w:eastAsia="zh-CN"/>
        </w:rPr>
        <w:t>10</w:t>
      </w: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snapToGrid/>
          <w:kern w:val="2"/>
          <w:sz w:val="24"/>
          <w:szCs w:val="24"/>
          <w:lang w:eastAsia="zh-CN"/>
        </w:rPr>
        <w:t>具备栅影抑制功能；</w:t>
      </w:r>
    </w:p>
    <w:p w14:paraId="2AB52A7F">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b w:val="0"/>
          <w:bCs/>
          <w:snapToGrid/>
          <w:spacing w:val="0"/>
          <w:kern w:val="2"/>
          <w:sz w:val="24"/>
          <w:szCs w:val="24"/>
          <w:highlight w:val="none"/>
          <w:lang w:eastAsia="zh-CN"/>
        </w:rPr>
      </w:pP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b w:val="0"/>
          <w:bCs/>
          <w:snapToGrid/>
          <w:spacing w:val="0"/>
          <w:kern w:val="2"/>
          <w:sz w:val="24"/>
          <w:szCs w:val="24"/>
          <w:highlight w:val="none"/>
          <w:lang w:val="en-US" w:eastAsia="zh-CN"/>
        </w:rPr>
        <w:t>11</w:t>
      </w:r>
      <w:r>
        <w:rPr>
          <w:rFonts w:hint="eastAsia" w:ascii="宋体" w:hAnsi="宋体" w:eastAsia="宋体" w:cs="宋体"/>
          <w:b w:val="0"/>
          <w:bCs/>
          <w:snapToGrid/>
          <w:spacing w:val="0"/>
          <w:kern w:val="2"/>
          <w:sz w:val="24"/>
          <w:szCs w:val="24"/>
          <w:highlight w:val="none"/>
          <w:lang w:eastAsia="zh-CN"/>
        </w:rPr>
        <w:t>）</w:t>
      </w:r>
      <w:r>
        <w:rPr>
          <w:rFonts w:hint="eastAsia" w:ascii="宋体" w:hAnsi="宋体" w:eastAsia="宋体" w:cs="宋体"/>
          <w:snapToGrid/>
          <w:kern w:val="2"/>
          <w:sz w:val="24"/>
          <w:szCs w:val="24"/>
          <w:lang w:eastAsia="zh-CN"/>
        </w:rPr>
        <w:t>为确保图像传输的稳定性和及时性，具备在不依赖于医院的网络覆盖下，支持DICOM图远程传输功能。具备远程PC端DICOM阅片功能。</w:t>
      </w:r>
    </w:p>
    <w:bookmarkEnd w:id="106"/>
    <w:p w14:paraId="70DBC92E">
      <w:pPr>
        <w:bidi w:val="0"/>
        <w:rPr>
          <w:rFonts w:hint="eastAsia"/>
          <w:lang w:val="en-US" w:eastAsia="zh-CN"/>
        </w:rPr>
      </w:pPr>
    </w:p>
    <w:p w14:paraId="3FAB4F8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b/>
          <w:bCs/>
          <w:snapToGrid/>
          <w:kern w:val="2"/>
          <w:sz w:val="28"/>
          <w:szCs w:val="28"/>
          <w:lang w:val="en-US" w:eastAsia="zh-CN"/>
        </w:rPr>
        <w:sectPr>
          <w:headerReference r:id="rId15" w:type="default"/>
          <w:footerReference r:id="rId16" w:type="default"/>
          <w:pgSz w:w="11905" w:h="16838"/>
          <w:pgMar w:top="1361" w:right="1417" w:bottom="1247" w:left="1417" w:header="839" w:footer="884" w:gutter="0"/>
          <w:pgNumType w:fmt="numberInDash"/>
          <w:cols w:space="0" w:num="1"/>
          <w:rtlGutter w:val="0"/>
          <w:docGrid w:linePitch="0" w:charSpace="0"/>
        </w:sectPr>
      </w:pPr>
    </w:p>
    <w:p w14:paraId="259ECC7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b/>
          <w:bCs/>
          <w:spacing w:val="7"/>
          <w:sz w:val="30"/>
          <w:szCs w:val="30"/>
        </w:rPr>
      </w:pPr>
      <w:bookmarkStart w:id="133" w:name="_Toc17102"/>
      <w:bookmarkStart w:id="134" w:name="_Toc11600"/>
      <w:r>
        <w:rPr>
          <w:b/>
          <w:bCs/>
          <w:spacing w:val="7"/>
          <w:sz w:val="30"/>
          <w:szCs w:val="30"/>
        </w:rPr>
        <w:t>第六章</w:t>
      </w:r>
      <w:r>
        <w:rPr>
          <w:rFonts w:hint="eastAsia"/>
          <w:b/>
          <w:bCs/>
          <w:spacing w:val="7"/>
          <w:sz w:val="30"/>
          <w:szCs w:val="30"/>
          <w:lang w:val="en-US" w:eastAsia="zh-CN"/>
        </w:rPr>
        <w:t xml:space="preserve">  </w:t>
      </w:r>
      <w:r>
        <w:rPr>
          <w:b/>
          <w:bCs/>
          <w:spacing w:val="7"/>
          <w:sz w:val="30"/>
          <w:szCs w:val="30"/>
        </w:rPr>
        <w:t>拟签订的合同文本</w:t>
      </w:r>
      <w:bookmarkEnd w:id="133"/>
      <w:bookmarkEnd w:id="134"/>
    </w:p>
    <w:p w14:paraId="1EFEE2F5">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2147483648" w:afterAutospacing="0" w:line="360" w:lineRule="auto"/>
        <w:jc w:val="center"/>
        <w:textAlignment w:val="auto"/>
        <w:outlineLvl w:val="1"/>
        <w:rPr>
          <w:rFonts w:hint="eastAsia" w:ascii="宋体" w:hAnsi="宋体" w:eastAsia="宋体" w:cs="宋体"/>
          <w:b/>
          <w:bCs/>
          <w:snapToGrid/>
          <w:kern w:val="2"/>
          <w:sz w:val="24"/>
          <w:szCs w:val="24"/>
          <w:lang w:eastAsia="zh-CN"/>
        </w:rPr>
      </w:pPr>
      <w:bookmarkStart w:id="135" w:name="_Toc21997"/>
      <w:bookmarkStart w:id="136" w:name="_Toc1883"/>
      <w:r>
        <w:rPr>
          <w:rFonts w:hint="eastAsia" w:ascii="宋体" w:hAnsi="宋体" w:eastAsia="宋体" w:cs="宋体"/>
          <w:b/>
          <w:bCs/>
          <w:snapToGrid/>
          <w:kern w:val="2"/>
          <w:sz w:val="24"/>
          <w:szCs w:val="24"/>
          <w:lang w:eastAsia="zh-CN"/>
        </w:rPr>
        <w:t>第一节 政府采购合同协议书</w:t>
      </w:r>
      <w:bookmarkEnd w:id="135"/>
      <w:bookmarkEnd w:id="136"/>
    </w:p>
    <w:p w14:paraId="6C734EE7">
      <w:pPr>
        <w:bidi w:val="0"/>
        <w:rPr>
          <w:rFonts w:hint="eastAsia"/>
          <w:lang w:val="en-US" w:eastAsia="zh-CN"/>
        </w:rPr>
      </w:pPr>
    </w:p>
    <w:p w14:paraId="12C68932">
      <w:pPr>
        <w:widowControl w:val="0"/>
        <w:kinsoku/>
        <w:autoSpaceDE/>
        <w:autoSpaceDN/>
        <w:adjustRightInd w:val="0"/>
        <w:snapToGrid w:val="0"/>
        <w:spacing w:before="0" w:beforeLines="0" w:line="4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甲方（全称）：</w:t>
      </w:r>
      <w:r>
        <w:rPr>
          <w:rFonts w:hint="eastAsia" w:ascii="宋体" w:hAnsi="宋体" w:eastAsia="宋体" w:cs="Times New Roman"/>
          <w:snapToGrid/>
          <w:kern w:val="2"/>
          <w:szCs w:val="21"/>
          <w:u w:val="single"/>
          <w:lang w:eastAsia="zh-CN"/>
        </w:rPr>
        <w:t xml:space="preserve">                        </w:t>
      </w:r>
    </w:p>
    <w:p w14:paraId="11F44274">
      <w:pPr>
        <w:widowControl w:val="0"/>
        <w:kinsoku/>
        <w:autoSpaceDE/>
        <w:autoSpaceDN/>
        <w:adjustRightInd w:val="0"/>
        <w:snapToGrid w:val="0"/>
        <w:spacing w:before="0" w:beforeLines="0" w:line="400" w:lineRule="exact"/>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乙方（全称）：</w:t>
      </w:r>
      <w:r>
        <w:rPr>
          <w:rFonts w:hint="eastAsia" w:ascii="宋体" w:hAnsi="宋体" w:eastAsia="宋体" w:cs="Times New Roman"/>
          <w:snapToGrid/>
          <w:kern w:val="2"/>
          <w:szCs w:val="21"/>
          <w:u w:val="single"/>
          <w:lang w:eastAsia="zh-CN"/>
        </w:rPr>
        <w:t xml:space="preserve">                       </w:t>
      </w:r>
    </w:p>
    <w:p w14:paraId="6CDEF9B5">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的招标文件等采购文件、乙方的《投标文件》及《中标通知书》，甲乙双方同意签订本合同。具体情况及要求如下：     </w:t>
      </w:r>
    </w:p>
    <w:p w14:paraId="6638707D">
      <w:pPr>
        <w:widowControl w:val="0"/>
        <w:numPr>
          <w:ilvl w:val="0"/>
          <w:numId w:val="1"/>
        </w:numPr>
        <w:kinsoku/>
        <w:autoSpaceDE/>
        <w:autoSpaceDN/>
        <w:adjustRightInd w:val="0"/>
        <w:snapToGrid w:val="0"/>
        <w:spacing w:before="0" w:beforeLines="0" w:line="400" w:lineRule="exact"/>
        <w:ind w:firstLine="422" w:firstLineChars="200"/>
        <w:jc w:val="both"/>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项目信息</w:t>
      </w:r>
    </w:p>
    <w:p w14:paraId="51F7956F">
      <w:pPr>
        <w:widowControl w:val="0"/>
        <w:numPr>
          <w:ilvl w:val="0"/>
          <w:numId w:val="2"/>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ascii="宋体" w:hAnsi="宋体" w:eastAsia="宋体" w:cs="Times New Roman"/>
          <w:kern w:val="2"/>
          <w:sz w:val="21"/>
          <w:szCs w:val="21"/>
          <w:u w:val="single"/>
          <w:lang w:val="en-US" w:eastAsia="zh-CN" w:bidi="ar-SA"/>
        </w:rPr>
        <w:t xml:space="preserve">                                          </w:t>
      </w:r>
    </w:p>
    <w:p w14:paraId="270FC512">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5A215E1A">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30649DFF">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（3）项目内容：</w:t>
      </w:r>
    </w:p>
    <w:p w14:paraId="6E26AC5D">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Times New Roman"/>
          <w:snapToGrid/>
          <w:kern w:val="2"/>
          <w:szCs w:val="21"/>
          <w:lang w:val="en-US" w:eastAsia="zh-CN"/>
        </w:rPr>
      </w:pPr>
      <w:r>
        <w:rPr>
          <w:rFonts w:hint="eastAsia" w:ascii="宋体" w:hAnsi="宋体" w:eastAsia="宋体" w:cs="Times New Roman"/>
          <w:snapToGrid/>
          <w:kern w:val="2"/>
          <w:szCs w:val="21"/>
          <w:lang w:val="en-US" w:eastAsia="zh-CN"/>
        </w:rPr>
        <w:t xml:space="preserve">     </w:t>
      </w:r>
      <w:r>
        <w:rPr>
          <w:rFonts w:hint="eastAsia" w:ascii="宋体" w:hAnsi="宋体" w:eastAsia="宋体" w:cs="Times New Roman"/>
          <w:snapToGrid/>
          <w:kern w:val="2"/>
          <w:szCs w:val="21"/>
          <w:lang w:eastAsia="zh-CN"/>
        </w:rPr>
        <w:t>采购标的及数量</w:t>
      </w:r>
      <w:r>
        <w:rPr>
          <w:rFonts w:hint="eastAsia" w:ascii="宋体" w:hAnsi="宋体" w:eastAsia="宋体" w:cs="Times New Roman"/>
          <w:snapToGrid/>
          <w:kern w:val="2"/>
          <w:szCs w:val="21"/>
          <w:lang w:val="en-US" w:eastAsia="zh-CN"/>
        </w:rPr>
        <w:t>（台）</w:t>
      </w:r>
      <w:r>
        <w:rPr>
          <w:rFonts w:hint="eastAsia" w:ascii="宋体" w:hAnsi="宋体" w:eastAsia="宋体" w:cs="Times New Roman"/>
          <w:snapToGrid/>
          <w:kern w:val="2"/>
          <w:szCs w:val="21"/>
          <w:lang w:eastAsia="zh-CN"/>
        </w:rPr>
        <w:t>：</w:t>
      </w:r>
      <w:r>
        <w:rPr>
          <w:rFonts w:hint="eastAsia" w:ascii="宋体" w:hAnsi="宋体" w:eastAsia="宋体" w:cs="Times New Roman"/>
          <w:snapToGrid/>
          <w:kern w:val="2"/>
          <w:szCs w:val="21"/>
          <w:u w:val="single"/>
          <w:lang w:val="en-US" w:eastAsia="zh-CN"/>
        </w:rPr>
        <w:t xml:space="preserve">                       </w:t>
      </w:r>
    </w:p>
    <w:p w14:paraId="1A0282CA">
      <w:pPr>
        <w:widowControl w:val="0"/>
        <w:numPr>
          <w:ilvl w:val="-1"/>
          <w:numId w:val="0"/>
        </w:numPr>
        <w:kinsoku/>
        <w:autoSpaceDE/>
        <w:autoSpaceDN/>
        <w:adjustRightInd w:val="0"/>
        <w:snapToGrid w:val="0"/>
        <w:spacing w:before="0" w:beforeLines="0" w:line="400" w:lineRule="exact"/>
        <w:ind w:firstLine="420" w:firstLineChars="200"/>
        <w:jc w:val="both"/>
        <w:textAlignment w:val="auto"/>
        <w:rPr>
          <w:rFonts w:hint="default" w:ascii="宋体" w:hAnsi="宋体" w:eastAsia="宋体" w:cs="宋体"/>
          <w:snapToGrid/>
          <w:kern w:val="2"/>
          <w:szCs w:val="21"/>
          <w:lang w:val="en" w:eastAsia="zh-CN"/>
        </w:rPr>
      </w:pPr>
      <w:r>
        <w:rPr>
          <w:rFonts w:hint="eastAsia" w:ascii="宋体" w:hAnsi="宋体" w:eastAsia="宋体" w:cs="Times New Roman"/>
          <w:snapToGrid/>
          <w:kern w:val="2"/>
          <w:szCs w:val="21"/>
          <w:highlight w:val="none"/>
          <w:u w:val="none"/>
          <w:lang w:val="en-US" w:eastAsia="zh-CN"/>
        </w:rPr>
        <w:t xml:space="preserve">     </w:t>
      </w:r>
      <w:r>
        <w:rPr>
          <w:rFonts w:hint="eastAsia" w:ascii="宋体" w:hAnsi="宋体" w:eastAsia="宋体" w:cs="宋体"/>
          <w:snapToGrid/>
          <w:kern w:val="2"/>
          <w:szCs w:val="21"/>
          <w:lang w:val="en-US" w:eastAsia="zh-CN"/>
        </w:rPr>
        <w:t>品牌：</w:t>
      </w:r>
      <w:r>
        <w:rPr>
          <w:rFonts w:hint="eastAsia" w:ascii="宋体" w:hAnsi="宋体" w:eastAsia="宋体" w:cs="宋体"/>
          <w:snapToGrid/>
          <w:kern w:val="2"/>
          <w:szCs w:val="21"/>
          <w:u w:val="single"/>
          <w:lang w:val="en-US" w:eastAsia="zh-CN"/>
        </w:rPr>
        <w:t xml:space="preserve">      </w:t>
      </w:r>
      <w:r>
        <w:rPr>
          <w:rFonts w:hint="default" w:ascii="宋体" w:hAnsi="宋体" w:eastAsia="宋体" w:cs="宋体"/>
          <w:snapToGrid/>
          <w:kern w:val="2"/>
          <w:szCs w:val="21"/>
          <w:u w:val="single"/>
          <w:lang w:val="en" w:eastAsia="zh-CN"/>
        </w:rPr>
        <w:t xml:space="preserve">   </w:t>
      </w:r>
      <w:r>
        <w:rPr>
          <w:rFonts w:hint="eastAsia" w:ascii="宋体" w:hAnsi="宋体" w:eastAsia="宋体" w:cs="宋体"/>
          <w:snapToGrid/>
          <w:kern w:val="2"/>
          <w:szCs w:val="21"/>
          <w:u w:val="single"/>
          <w:lang w:val="en-US" w:eastAsia="zh-CN"/>
        </w:rPr>
        <w:t xml:space="preserve">    </w:t>
      </w:r>
      <w:r>
        <w:rPr>
          <w:rFonts w:hint="default" w:ascii="宋体" w:hAnsi="宋体" w:eastAsia="宋体" w:cs="宋体"/>
          <w:snapToGrid/>
          <w:kern w:val="2"/>
          <w:szCs w:val="21"/>
          <w:u w:val="single"/>
          <w:lang w:val="en" w:eastAsia="zh-CN"/>
        </w:rPr>
        <w:t xml:space="preserve"> </w:t>
      </w:r>
      <w:r>
        <w:rPr>
          <w:rFonts w:hint="eastAsia" w:ascii="宋体" w:hAnsi="宋体" w:eastAsia="宋体" w:cs="宋体"/>
          <w:snapToGrid/>
          <w:kern w:val="2"/>
          <w:szCs w:val="21"/>
          <w:u w:val="single"/>
          <w:lang w:val="en-US" w:eastAsia="zh-CN"/>
        </w:rPr>
        <w:t xml:space="preserve"> </w:t>
      </w:r>
      <w:r>
        <w:rPr>
          <w:rFonts w:hint="default" w:ascii="宋体" w:hAnsi="宋体" w:eastAsia="宋体" w:cs="宋体"/>
          <w:snapToGrid/>
          <w:kern w:val="2"/>
          <w:szCs w:val="21"/>
          <w:u w:val="none"/>
          <w:lang w:val="en" w:eastAsia="zh-CN"/>
        </w:rPr>
        <w:t xml:space="preserve">     </w:t>
      </w:r>
      <w:r>
        <w:rPr>
          <w:rFonts w:hint="eastAsia" w:ascii="宋体" w:hAnsi="宋体" w:eastAsia="宋体" w:cs="宋体"/>
          <w:snapToGrid/>
          <w:kern w:val="2"/>
          <w:szCs w:val="21"/>
          <w:lang w:val="en-US" w:eastAsia="zh-CN"/>
        </w:rPr>
        <w:t>规格型号：</w:t>
      </w:r>
      <w:r>
        <w:rPr>
          <w:rFonts w:hint="eastAsia" w:ascii="宋体" w:hAnsi="宋体" w:eastAsia="宋体" w:cs="宋体"/>
          <w:snapToGrid/>
          <w:kern w:val="2"/>
          <w:szCs w:val="21"/>
          <w:u w:val="single"/>
          <w:lang w:val="en-US" w:eastAsia="zh-CN"/>
        </w:rPr>
        <w:t xml:space="preserve">   </w:t>
      </w:r>
      <w:r>
        <w:rPr>
          <w:rFonts w:hint="default" w:ascii="宋体" w:hAnsi="宋体" w:eastAsia="宋体" w:cs="宋体"/>
          <w:snapToGrid/>
          <w:kern w:val="2"/>
          <w:szCs w:val="21"/>
          <w:u w:val="single"/>
          <w:lang w:val="en" w:eastAsia="zh-CN"/>
        </w:rPr>
        <w:t xml:space="preserve">  </w:t>
      </w:r>
      <w:r>
        <w:rPr>
          <w:rFonts w:hint="eastAsia" w:ascii="宋体" w:hAnsi="宋体" w:eastAsia="宋体" w:cs="宋体"/>
          <w:snapToGrid/>
          <w:kern w:val="2"/>
          <w:szCs w:val="21"/>
          <w:u w:val="single"/>
          <w:lang w:val="en-US" w:eastAsia="zh-CN"/>
        </w:rPr>
        <w:t xml:space="preserve">       </w:t>
      </w:r>
      <w:r>
        <w:rPr>
          <w:rFonts w:hint="default" w:ascii="宋体" w:hAnsi="宋体" w:eastAsia="宋体" w:cs="宋体"/>
          <w:snapToGrid/>
          <w:kern w:val="2"/>
          <w:szCs w:val="21"/>
          <w:u w:val="single"/>
          <w:lang w:val="en" w:eastAsia="zh-CN"/>
        </w:rPr>
        <w:t xml:space="preserve">   </w:t>
      </w:r>
    </w:p>
    <w:p w14:paraId="6FF06477">
      <w:pPr>
        <w:widowControl w:val="0"/>
        <w:kinsoku/>
        <w:autoSpaceDE/>
        <w:autoSpaceDN/>
        <w:adjustRightInd w:val="0"/>
        <w:snapToGrid w:val="0"/>
        <w:spacing w:before="0" w:beforeLines="0" w:line="400" w:lineRule="exact"/>
        <w:ind w:firstLine="945" w:firstLineChars="450"/>
        <w:jc w:val="both"/>
        <w:textAlignment w:val="auto"/>
        <w:rPr>
          <w:rFonts w:ascii="宋体" w:hAnsi="宋体" w:eastAsia="宋体" w:cs="Times New Roman"/>
          <w:snapToGrid/>
          <w:kern w:val="2"/>
          <w:szCs w:val="21"/>
          <w:highlight w:val="none"/>
          <w:u w:val="single"/>
          <w:lang w:eastAsia="zh-CN"/>
        </w:rPr>
      </w:pPr>
      <w:r>
        <w:rPr>
          <w:rFonts w:hint="eastAsia" w:ascii="宋体" w:hAnsi="宋体" w:eastAsia="宋体" w:cs="Times New Roman"/>
          <w:snapToGrid/>
          <w:kern w:val="2"/>
          <w:szCs w:val="21"/>
          <w:highlight w:val="none"/>
          <w:u w:val="none"/>
          <w:lang w:val="en-US" w:eastAsia="zh-CN"/>
        </w:rPr>
        <w:t>采购标的的技术要求、商务要求具体见附件。</w:t>
      </w:r>
    </w:p>
    <w:p w14:paraId="6B58CE4A">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 xml:space="preserve">    （</w:t>
      </w:r>
      <w:r>
        <w:rPr>
          <w:rFonts w:hint="default" w:ascii="宋体" w:hAnsi="宋体" w:eastAsia="宋体" w:cs="宋体"/>
          <w:iCs w:val="0"/>
          <w:sz w:val="21"/>
          <w:szCs w:val="21"/>
          <w:lang w:val="en" w:eastAsia="zh-CN" w:bidi="ar-SA"/>
        </w:rPr>
        <w:t>4</w:t>
      </w:r>
      <w:r>
        <w:rPr>
          <w:rFonts w:hint="eastAsia" w:ascii="宋体" w:hAnsi="宋体" w:eastAsia="宋体" w:cs="宋体"/>
          <w:iCs w:val="0"/>
          <w:sz w:val="21"/>
          <w:szCs w:val="21"/>
          <w:lang w:val="en-US" w:eastAsia="zh-CN" w:bidi="ar-SA"/>
        </w:rPr>
        <w:t>）政府采购组织形式：</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政府集中采购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部门集中采购  </w:t>
      </w:r>
      <w:r>
        <w:rPr>
          <w:rFonts w:hint="eastAsia" w:ascii="宋体" w:hAnsi="宋体" w:eastAsia="宋体" w:cs="宋体"/>
          <w:iCs w:val="0"/>
          <w:sz w:val="21"/>
          <w:szCs w:val="21"/>
          <w:lang w:val="en-US" w:eastAsia="zh-CN" w:bidi="ar-SA"/>
        </w:rPr>
        <w:sym w:font="Wingdings" w:char="00FE"/>
      </w:r>
      <w:r>
        <w:rPr>
          <w:rFonts w:hint="eastAsia" w:ascii="宋体" w:hAnsi="宋体" w:eastAsia="宋体" w:cs="宋体"/>
          <w:iCs w:val="0"/>
          <w:sz w:val="21"/>
          <w:szCs w:val="21"/>
          <w:lang w:val="en-US" w:eastAsia="zh-CN" w:bidi="ar-SA"/>
        </w:rPr>
        <w:t>分散采购</w:t>
      </w:r>
    </w:p>
    <w:p w14:paraId="6CF19F9D">
      <w:pPr>
        <w:numPr>
          <w:ilvl w:val="-1"/>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lang w:val="en-US" w:eastAsia="zh-CN" w:bidi="ar-SA"/>
        </w:rPr>
      </w:pPr>
      <w:r>
        <w:rPr>
          <w:rFonts w:hint="eastAsia" w:ascii="宋体" w:hAnsi="宋体" w:eastAsia="宋体" w:cs="宋体"/>
          <w:iCs w:val="0"/>
          <w:sz w:val="21"/>
          <w:szCs w:val="21"/>
          <w:lang w:val="en-US" w:eastAsia="zh-CN" w:bidi="ar-SA"/>
        </w:rPr>
        <w:t>（</w:t>
      </w:r>
      <w:r>
        <w:rPr>
          <w:rFonts w:hint="default" w:ascii="宋体" w:hAnsi="宋体" w:eastAsia="宋体" w:cs="宋体"/>
          <w:iCs w:val="0"/>
          <w:sz w:val="21"/>
          <w:szCs w:val="21"/>
          <w:lang w:val="en" w:eastAsia="zh-CN" w:bidi="ar-SA"/>
        </w:rPr>
        <w:t>5</w:t>
      </w:r>
      <w:r>
        <w:rPr>
          <w:rFonts w:hint="eastAsia" w:ascii="宋体" w:hAnsi="宋体" w:eastAsia="宋体" w:cs="宋体"/>
          <w:iCs w:val="0"/>
          <w:sz w:val="21"/>
          <w:szCs w:val="21"/>
          <w:lang w:val="en-US" w:eastAsia="zh-CN" w:bidi="ar-SA"/>
        </w:rPr>
        <w:t>）政府采购方式：</w:t>
      </w:r>
      <w:r>
        <w:rPr>
          <w:rFonts w:hint="eastAsia" w:ascii="宋体" w:hAnsi="宋体" w:eastAsia="宋体" w:cs="宋体"/>
          <w:iCs w:val="0"/>
          <w:sz w:val="21"/>
          <w:szCs w:val="21"/>
          <w:lang w:val="en-US" w:eastAsia="zh-CN" w:bidi="ar-SA"/>
        </w:rPr>
        <w:sym w:font="Wingdings" w:char="00FE"/>
      </w:r>
      <w:r>
        <w:rPr>
          <w:rFonts w:hint="eastAsia" w:ascii="宋体" w:hAnsi="宋体" w:eastAsia="宋体" w:cs="宋体"/>
          <w:iCs w:val="0"/>
          <w:sz w:val="21"/>
          <w:szCs w:val="21"/>
          <w:lang w:val="en-US" w:eastAsia="zh-CN" w:bidi="ar-SA"/>
        </w:rPr>
        <w:t xml:space="preserve">公开招标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邀请招标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竞争性谈判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竞争性磋商</w:t>
      </w:r>
    </w:p>
    <w:p w14:paraId="64540341">
      <w:pPr>
        <w:numPr>
          <w:ilvl w:val="-1"/>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bidi="ar-SA"/>
        </w:rPr>
      </w:pPr>
      <w:r>
        <w:rPr>
          <w:rFonts w:hint="eastAsia" w:ascii="宋体" w:hAnsi="宋体" w:eastAsia="华文楷体" w:cs="宋体"/>
          <w:sz w:val="22"/>
          <w:szCs w:val="21"/>
          <w:u w:val="none"/>
          <w:lang w:val="en-US" w:eastAsia="zh-CN" w:bidi="ar-SA"/>
        </w:rPr>
        <w:t xml:space="preserve">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询价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单一来源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 xml:space="preserve">框架协议 </w:t>
      </w:r>
      <w:r>
        <w:rPr>
          <w:rFonts w:hint="eastAsia" w:ascii="宋体" w:hAnsi="宋体" w:eastAsia="宋体" w:cs="宋体"/>
          <w:iCs w:val="0"/>
          <w:sz w:val="21"/>
          <w:szCs w:val="21"/>
          <w:lang w:val="en-US" w:eastAsia="zh-CN" w:bidi="ar-SA"/>
        </w:rPr>
        <w:sym w:font="Wingdings" w:char="00A8"/>
      </w:r>
      <w:r>
        <w:rPr>
          <w:rFonts w:hint="eastAsia" w:ascii="宋体" w:hAnsi="宋体" w:eastAsia="宋体" w:cs="宋体"/>
          <w:iCs w:val="0"/>
          <w:sz w:val="21"/>
          <w:szCs w:val="21"/>
          <w:lang w:val="en-US" w:eastAsia="zh-CN" w:bidi="ar-SA"/>
        </w:rPr>
        <w:t>其他：</w:t>
      </w:r>
      <w:r>
        <w:rPr>
          <w:rFonts w:hint="eastAsia" w:ascii="宋体" w:hAnsi="宋体" w:eastAsia="宋体" w:cs="宋体"/>
          <w:iCs w:val="0"/>
          <w:sz w:val="21"/>
          <w:szCs w:val="21"/>
          <w:u w:val="single"/>
          <w:lang w:val="en-US" w:eastAsia="zh-CN" w:bidi="ar-SA"/>
        </w:rPr>
        <w:t xml:space="preserve">          </w:t>
      </w:r>
    </w:p>
    <w:p w14:paraId="0DE91679">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eastAsia="华文楷体" w:cs="华文楷体"/>
          <w:sz w:val="22"/>
          <w:szCs w:val="21"/>
          <w:lang w:val="en-US" w:eastAsia="zh-CN" w:bidi="ar-SA"/>
        </w:rPr>
        <w:t xml:space="preserve"> （</w:t>
      </w:r>
      <w:r>
        <w:rPr>
          <w:rFonts w:hint="default" w:ascii="宋体" w:hAnsi="宋体" w:eastAsia="华文楷体" w:cs="华文楷体"/>
          <w:sz w:val="22"/>
          <w:szCs w:val="21"/>
          <w:lang w:val="en" w:eastAsia="zh-CN" w:bidi="ar-SA"/>
        </w:rPr>
        <w:t>6</w:t>
      </w:r>
      <w:r>
        <w:rPr>
          <w:rFonts w:hint="eastAsia" w:ascii="宋体" w:hAnsi="宋体" w:eastAsia="华文楷体" w:cs="华文楷体"/>
          <w:sz w:val="22"/>
          <w:szCs w:val="21"/>
          <w:lang w:val="en-US" w:eastAsia="zh-CN" w:bidi="ar-SA"/>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0BD7E60F">
      <w:pPr>
        <w:widowControl w:val="0"/>
        <w:numPr>
          <w:ilvl w:val="-1"/>
          <w:numId w:val="0"/>
        </w:numPr>
        <w:kinsoku/>
        <w:autoSpaceDE/>
        <w:autoSpaceDN/>
        <w:adjustRightInd w:val="0"/>
        <w:snapToGrid w:val="0"/>
        <w:spacing w:before="0" w:beforeLines="0" w:line="400" w:lineRule="exact"/>
        <w:ind w:left="0" w:leftChars="0" w:firstLine="0" w:firstLineChars="0"/>
        <w:jc w:val="both"/>
        <w:textAlignment w:val="auto"/>
        <w:rPr>
          <w:rFonts w:hint="eastAsia" w:ascii="宋体" w:hAnsi="宋体" w:eastAsia="宋体" w:cs="Times New Roman"/>
          <w:iCs/>
          <w:snapToGrid/>
          <w:kern w:val="2"/>
          <w:szCs w:val="21"/>
          <w:lang w:eastAsia="zh-CN"/>
        </w:rPr>
      </w:pPr>
      <w:r>
        <w:rPr>
          <w:rFonts w:hint="eastAsia" w:ascii="宋体" w:hAnsi="宋体" w:eastAsia="宋体" w:cs="Times New Roman"/>
          <w:snapToGrid/>
          <w:w w:val="100"/>
          <w:kern w:val="2"/>
          <w:szCs w:val="21"/>
          <w:lang w:val="en-US" w:eastAsia="zh-CN"/>
        </w:rPr>
        <w:t xml:space="preserve">         本合同</w:t>
      </w:r>
      <w:r>
        <w:rPr>
          <w:rFonts w:hint="eastAsia" w:ascii="宋体" w:hAnsi="宋体" w:eastAsia="宋体" w:cs="Times New Roman"/>
          <w:snapToGrid/>
          <w:w w:val="100"/>
          <w:kern w:val="2"/>
          <w:szCs w:val="21"/>
          <w:lang w:eastAsia="zh-CN"/>
        </w:rPr>
        <w:t>是否为专门面向中小企业的采</w:t>
      </w:r>
      <w:r>
        <w:rPr>
          <w:rFonts w:hint="eastAsia" w:ascii="宋体" w:hAnsi="宋体" w:eastAsia="宋体" w:cs="Times New Roman"/>
          <w:snapToGrid/>
          <w:w w:val="100"/>
          <w:kern w:val="2"/>
          <w:szCs w:val="21"/>
          <w:shd w:val="clear"/>
          <w:lang w:eastAsia="zh-CN"/>
        </w:rPr>
        <w:t>购合同（中小企业预留合同）</w:t>
      </w:r>
      <w:r>
        <w:rPr>
          <w:rFonts w:hint="eastAsia" w:ascii="宋体" w:hAnsi="宋体" w:eastAsia="宋体" w:cs="Times New Roman"/>
          <w:snapToGrid/>
          <w:kern w:val="2"/>
          <w:szCs w:val="21"/>
          <w:shd w:val="clear"/>
          <w:lang w:eastAsia="zh-CN"/>
        </w:rPr>
        <w:t>：</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 xml:space="preserve">是 </w:t>
      </w:r>
      <w:r>
        <w:rPr>
          <w:rFonts w:hint="eastAsia" w:ascii="宋体" w:hAnsi="宋体" w:eastAsia="宋体" w:cs="Times New Roman"/>
          <w:iCs/>
          <w:snapToGrid/>
          <w:kern w:val="2"/>
          <w:szCs w:val="21"/>
          <w:lang w:val="en-US" w:eastAsia="zh-CN"/>
        </w:rPr>
        <w:t xml:space="preserve">  </w:t>
      </w:r>
      <w:r>
        <w:rPr>
          <w:rFonts w:hint="eastAsia" w:ascii="宋体" w:hAnsi="宋体" w:eastAsia="宋体" w:cs="Times New Roman"/>
          <w:iCs/>
          <w:snapToGrid/>
          <w:kern w:val="2"/>
          <w:szCs w:val="21"/>
          <w:lang w:eastAsia="zh-CN"/>
        </w:rPr>
        <w:t xml:space="preserve"> </w:t>
      </w:r>
      <w:r>
        <w:rPr>
          <w:rFonts w:hint="eastAsia" w:ascii="宋体" w:hAnsi="宋体" w:eastAsia="宋体" w:cs="Times New Roman"/>
          <w:iCs/>
          <w:snapToGrid/>
          <w:kern w:val="2"/>
          <w:szCs w:val="21"/>
          <w:lang w:eastAsia="zh-CN"/>
        </w:rPr>
        <w:sym w:font="Wingdings" w:char="00FE"/>
      </w:r>
      <w:r>
        <w:rPr>
          <w:rFonts w:hint="eastAsia" w:ascii="宋体" w:hAnsi="宋体" w:eastAsia="宋体" w:cs="Times New Roman"/>
          <w:iCs/>
          <w:snapToGrid/>
          <w:kern w:val="2"/>
          <w:szCs w:val="21"/>
          <w:lang w:eastAsia="zh-CN"/>
        </w:rPr>
        <w:t>否</w:t>
      </w:r>
    </w:p>
    <w:p w14:paraId="12A55ABC">
      <w:pPr>
        <w:widowControl w:val="0"/>
        <w:numPr>
          <w:ilvl w:val="-1"/>
          <w:numId w:val="0"/>
        </w:numPr>
        <w:kinsoku/>
        <w:autoSpaceDE/>
        <w:autoSpaceDN/>
        <w:adjustRightInd w:val="0"/>
        <w:snapToGrid w:val="0"/>
        <w:spacing w:before="0" w:beforeLines="0" w:line="400" w:lineRule="exact"/>
        <w:ind w:firstLine="0" w:firstLineChars="0"/>
        <w:jc w:val="both"/>
        <w:textAlignment w:val="auto"/>
        <w:rPr>
          <w:rFonts w:hint="eastAsia" w:ascii="宋体" w:hAnsi="宋体" w:eastAsia="宋体" w:cs="Times New Roman"/>
          <w:iCs/>
          <w:snapToGrid/>
          <w:kern w:val="2"/>
          <w:szCs w:val="21"/>
          <w:lang w:eastAsia="zh-CN"/>
        </w:rPr>
      </w:pPr>
      <w:r>
        <w:rPr>
          <w:rFonts w:hint="eastAsia" w:ascii="Times New Roman" w:hAnsi="Times New Roman" w:eastAsia="宋体" w:cs="Times New Roman"/>
          <w:snapToGrid/>
          <w:kern w:val="2"/>
          <w:szCs w:val="24"/>
          <w:lang w:val="en-US" w:eastAsia="zh-CN"/>
        </w:rPr>
        <w:t xml:space="preserve">         若本项目不专门面向中小企业采购，是否给予小微企业评审优惠：</w:t>
      </w:r>
      <w:r>
        <w:rPr>
          <w:rFonts w:hint="eastAsia" w:ascii="宋体" w:hAnsi="宋体" w:eastAsia="宋体" w:cs="Times New Roman"/>
          <w:iCs/>
          <w:snapToGrid/>
          <w:kern w:val="2"/>
          <w:szCs w:val="21"/>
          <w:lang w:eastAsia="zh-CN"/>
        </w:rPr>
        <w:sym w:font="Wingdings" w:char="00FE"/>
      </w:r>
      <w:r>
        <w:rPr>
          <w:rFonts w:hint="eastAsia" w:ascii="宋体" w:hAnsi="宋体" w:eastAsia="宋体" w:cs="Times New Roman"/>
          <w:iCs/>
          <w:snapToGrid/>
          <w:kern w:val="2"/>
          <w:szCs w:val="21"/>
          <w:lang w:eastAsia="zh-CN"/>
        </w:rPr>
        <w:t xml:space="preserve">是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否</w:t>
      </w:r>
    </w:p>
    <w:p w14:paraId="03B09892">
      <w:pPr>
        <w:widowControl w:val="0"/>
        <w:numPr>
          <w:ilvl w:val="-1"/>
          <w:numId w:val="0"/>
        </w:numPr>
        <w:kinsoku/>
        <w:autoSpaceDE/>
        <w:autoSpaceDN/>
        <w:adjustRightInd w:val="0"/>
        <w:snapToGrid w:val="0"/>
        <w:spacing w:before="0" w:beforeLines="0" w:line="400" w:lineRule="exact"/>
        <w:ind w:firstLine="0" w:firstLineChars="0"/>
        <w:jc w:val="both"/>
        <w:textAlignment w:val="auto"/>
        <w:rPr>
          <w:rFonts w:hint="eastAsia" w:ascii="宋体" w:hAnsi="宋体" w:eastAsia="宋体" w:cs="Times New Roman"/>
          <w:iCs/>
          <w:snapToGrid/>
          <w:kern w:val="2"/>
          <w:szCs w:val="21"/>
          <w:lang w:eastAsia="zh-CN"/>
        </w:rPr>
      </w:pPr>
      <w:r>
        <w:rPr>
          <w:rFonts w:hint="eastAsia" w:ascii="Times New Roman" w:hAnsi="Times New Roman" w:eastAsia="宋体" w:cs="Times New Roman"/>
          <w:snapToGrid/>
          <w:kern w:val="2"/>
          <w:szCs w:val="24"/>
          <w:lang w:val="en-US" w:eastAsia="zh-CN"/>
        </w:rPr>
        <w:t xml:space="preserve">         中标（成交）采购标的制造商是否为残疾人福利性单位：</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 xml:space="preserve">是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否</w:t>
      </w:r>
    </w:p>
    <w:p w14:paraId="7139652C">
      <w:pPr>
        <w:widowControl w:val="0"/>
        <w:numPr>
          <w:ilvl w:val="0"/>
          <w:numId w:val="0"/>
        </w:numPr>
        <w:kinsoku/>
        <w:autoSpaceDE/>
        <w:autoSpaceDN/>
        <w:adjustRightInd/>
        <w:snapToGrid w:val="0"/>
        <w:spacing w:beforeLines="0" w:line="400" w:lineRule="exact"/>
        <w:ind w:firstLine="0" w:firstLineChars="0"/>
        <w:jc w:val="both"/>
        <w:textAlignment w:val="auto"/>
        <w:rPr>
          <w:rFonts w:hint="default" w:ascii="Times New Roman" w:hAnsi="Times New Roman" w:eastAsia="宋体" w:cs="Times New Roman"/>
          <w:snapToGrid/>
          <w:kern w:val="2"/>
          <w:szCs w:val="24"/>
          <w:lang w:val="en-US" w:eastAsia="zh-CN"/>
        </w:rPr>
      </w:pPr>
      <w:r>
        <w:rPr>
          <w:rFonts w:hint="eastAsia" w:ascii="Times New Roman" w:hAnsi="Times New Roman" w:eastAsia="宋体" w:cs="Times New Roman"/>
          <w:snapToGrid/>
          <w:kern w:val="2"/>
          <w:szCs w:val="24"/>
          <w:lang w:val="en-US" w:eastAsia="zh-CN"/>
        </w:rPr>
        <w:t xml:space="preserve">         中标（成交）采购标的制造商是否为监狱企业：</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 xml:space="preserve">是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否</w:t>
      </w:r>
    </w:p>
    <w:p w14:paraId="38A95C19">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w:t>
      </w:r>
      <w:r>
        <w:rPr>
          <w:rFonts w:hint="default" w:ascii="宋体" w:hAnsi="宋体" w:eastAsia="宋体" w:cs="Times New Roman"/>
          <w:snapToGrid/>
          <w:kern w:val="2"/>
          <w:szCs w:val="21"/>
          <w:lang w:val="en" w:eastAsia="zh-CN"/>
        </w:rPr>
        <w:t>7</w:t>
      </w:r>
      <w:r>
        <w:rPr>
          <w:rFonts w:hint="eastAsia" w:ascii="宋体" w:hAnsi="宋体" w:eastAsia="宋体" w:cs="Times New Roman"/>
          <w:snapToGrid/>
          <w:kern w:val="2"/>
          <w:szCs w:val="21"/>
          <w:lang w:eastAsia="zh-CN"/>
        </w:rPr>
        <w:t>）合同是否分包：</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 xml:space="preserve">是       </w:t>
      </w:r>
      <w:r>
        <w:rPr>
          <w:rFonts w:hint="eastAsia" w:ascii="宋体" w:hAnsi="宋体" w:eastAsia="宋体" w:cs="Times New Roman"/>
          <w:iCs/>
          <w:snapToGrid/>
          <w:kern w:val="2"/>
          <w:szCs w:val="21"/>
          <w:lang w:eastAsia="zh-CN"/>
        </w:rPr>
        <w:sym w:font="Wingdings" w:char="00FE"/>
      </w:r>
      <w:r>
        <w:rPr>
          <w:rFonts w:hint="eastAsia" w:ascii="宋体" w:hAnsi="宋体" w:eastAsia="宋体" w:cs="Times New Roman"/>
          <w:iCs/>
          <w:snapToGrid/>
          <w:kern w:val="2"/>
          <w:szCs w:val="21"/>
          <w:lang w:eastAsia="zh-CN"/>
        </w:rPr>
        <w:t>否</w:t>
      </w:r>
    </w:p>
    <w:p w14:paraId="1E4A30A4">
      <w:pPr>
        <w:widowControl w:val="0"/>
        <w:numPr>
          <w:ilvl w:val="-1"/>
          <w:numId w:val="0"/>
        </w:numPr>
        <w:kinsoku/>
        <w:autoSpaceDE/>
        <w:autoSpaceDN/>
        <w:adjustRightInd w:val="0"/>
        <w:snapToGrid w:val="0"/>
        <w:spacing w:before="0" w:beforeLines="0" w:line="400" w:lineRule="exact"/>
        <w:ind w:left="0" w:leftChars="0" w:firstLine="0" w:firstLineChars="0"/>
        <w:jc w:val="both"/>
        <w:textAlignment w:val="auto"/>
        <w:rPr>
          <w:rFonts w:hint="eastAsia" w:ascii="宋体" w:hAnsi="宋体" w:eastAsia="宋体" w:cs="宋体"/>
          <w:iCs/>
          <w:snapToGrid/>
          <w:kern w:val="2"/>
          <w:szCs w:val="21"/>
          <w:highlight w:val="none"/>
          <w:lang w:eastAsia="zh-CN"/>
        </w:rPr>
      </w:pPr>
      <w:r>
        <w:rPr>
          <w:rFonts w:hint="eastAsia" w:ascii="宋体" w:hAnsi="宋体" w:eastAsia="宋体" w:cs="Times New Roman"/>
          <w:snapToGrid/>
          <w:kern w:val="2"/>
          <w:szCs w:val="21"/>
          <w:highlight w:val="none"/>
          <w:u w:val="none"/>
          <w:lang w:val="en-US" w:eastAsia="zh-CN"/>
        </w:rPr>
        <w:t xml:space="preserve">    </w:t>
      </w:r>
      <w:r>
        <w:rPr>
          <w:rFonts w:hint="eastAsia" w:ascii="宋体" w:hAnsi="宋体" w:eastAsia="宋体" w:cs="宋体"/>
          <w:snapToGrid/>
          <w:kern w:val="2"/>
          <w:szCs w:val="21"/>
          <w:highlight w:val="none"/>
          <w:u w:val="none"/>
          <w:lang w:val="en-US" w:eastAsia="zh-CN"/>
        </w:rPr>
        <w:t>（</w:t>
      </w:r>
      <w:r>
        <w:rPr>
          <w:rFonts w:hint="default" w:ascii="宋体" w:hAnsi="宋体" w:eastAsia="宋体" w:cs="宋体"/>
          <w:snapToGrid/>
          <w:kern w:val="2"/>
          <w:szCs w:val="21"/>
          <w:highlight w:val="none"/>
          <w:u w:val="none"/>
          <w:lang w:val="en" w:eastAsia="zh-CN"/>
        </w:rPr>
        <w:t>8</w:t>
      </w:r>
      <w:r>
        <w:rPr>
          <w:rFonts w:hint="eastAsia" w:ascii="宋体" w:hAnsi="宋体" w:eastAsia="宋体" w:cs="宋体"/>
          <w:snapToGrid/>
          <w:kern w:val="2"/>
          <w:szCs w:val="21"/>
          <w:highlight w:val="none"/>
          <w:u w:val="none"/>
          <w:lang w:val="en-US" w:eastAsia="zh-CN"/>
        </w:rPr>
        <w:t>）中标供应商是否为外商投资企业：</w:t>
      </w:r>
      <w:r>
        <w:rPr>
          <w:rFonts w:hint="eastAsia" w:ascii="宋体" w:hAnsi="宋体" w:eastAsia="宋体" w:cs="宋体"/>
          <w:iCs/>
          <w:snapToGrid/>
          <w:kern w:val="2"/>
          <w:szCs w:val="21"/>
          <w:highlight w:val="none"/>
          <w:lang w:eastAsia="zh-CN"/>
        </w:rPr>
        <w:sym w:font="Wingdings" w:char="00A8"/>
      </w:r>
      <w:r>
        <w:rPr>
          <w:rFonts w:hint="eastAsia" w:ascii="宋体" w:hAnsi="宋体" w:eastAsia="宋体" w:cs="宋体"/>
          <w:iCs/>
          <w:snapToGrid/>
          <w:kern w:val="2"/>
          <w:szCs w:val="21"/>
          <w:highlight w:val="none"/>
          <w:lang w:eastAsia="zh-CN"/>
        </w:rPr>
        <w:t xml:space="preserve">是       </w:t>
      </w:r>
      <w:r>
        <w:rPr>
          <w:rFonts w:hint="eastAsia" w:ascii="宋体" w:hAnsi="宋体" w:eastAsia="宋体" w:cs="宋体"/>
          <w:iCs/>
          <w:snapToGrid/>
          <w:kern w:val="2"/>
          <w:szCs w:val="21"/>
          <w:highlight w:val="none"/>
          <w:lang w:eastAsia="zh-CN"/>
        </w:rPr>
        <w:sym w:font="Wingdings" w:char="00A8"/>
      </w:r>
      <w:r>
        <w:rPr>
          <w:rFonts w:hint="eastAsia" w:ascii="宋体" w:hAnsi="宋体" w:eastAsia="宋体" w:cs="宋体"/>
          <w:iCs/>
          <w:snapToGrid/>
          <w:kern w:val="2"/>
          <w:szCs w:val="21"/>
          <w:highlight w:val="none"/>
          <w:lang w:eastAsia="zh-CN"/>
        </w:rPr>
        <w:t>否</w:t>
      </w:r>
    </w:p>
    <w:p w14:paraId="33D26CA4">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1330B0DB">
      <w:pPr>
        <w:widowControl w:val="0"/>
        <w:numPr>
          <w:ilvl w:val="-1"/>
          <w:numId w:val="0"/>
        </w:numPr>
        <w:kinsoku/>
        <w:autoSpaceDE/>
        <w:autoSpaceDN/>
        <w:adjustRightInd w:val="0"/>
        <w:snapToGrid w:val="0"/>
        <w:spacing w:before="0" w:beforeLines="0" w:line="400" w:lineRule="exact"/>
        <w:ind w:firstLine="420" w:firstLineChars="200"/>
        <w:jc w:val="both"/>
        <w:textAlignment w:val="auto"/>
        <w:rPr>
          <w:rFonts w:hint="eastAsia" w:ascii="宋体" w:hAnsi="宋体" w:eastAsia="宋体" w:cs="宋体"/>
          <w:b w:val="0"/>
          <w:bCs w:val="0"/>
          <w:snapToGrid/>
          <w:kern w:val="2"/>
          <w:sz w:val="21"/>
          <w:szCs w:val="21"/>
          <w:u w:val="none"/>
          <w:lang w:val="en-US" w:eastAsia="zh-CN"/>
        </w:rPr>
      </w:pPr>
      <w:r>
        <w:rPr>
          <w:rFonts w:hint="eastAsia" w:ascii="宋体" w:hAnsi="宋体" w:eastAsia="宋体" w:cs="宋体"/>
          <w:b w:val="0"/>
          <w:bCs w:val="0"/>
          <w:snapToGrid/>
          <w:kern w:val="2"/>
          <w:sz w:val="21"/>
          <w:szCs w:val="21"/>
          <w:u w:val="none"/>
          <w:lang w:val="en-US" w:eastAsia="zh-CN"/>
        </w:rPr>
        <w:t>（</w:t>
      </w:r>
      <w:r>
        <w:rPr>
          <w:rFonts w:hint="default" w:ascii="宋体" w:hAnsi="宋体" w:eastAsia="宋体" w:cs="宋体"/>
          <w:b w:val="0"/>
          <w:bCs w:val="0"/>
          <w:snapToGrid/>
          <w:kern w:val="2"/>
          <w:sz w:val="21"/>
          <w:szCs w:val="21"/>
          <w:u w:val="none"/>
          <w:lang w:val="en" w:eastAsia="zh-CN"/>
        </w:rPr>
        <w:t>9</w:t>
      </w:r>
      <w:r>
        <w:rPr>
          <w:rFonts w:hint="eastAsia" w:ascii="宋体" w:hAnsi="宋体" w:eastAsia="宋体" w:cs="宋体"/>
          <w:b w:val="0"/>
          <w:bCs w:val="0"/>
          <w:snapToGrid/>
          <w:kern w:val="2"/>
          <w:sz w:val="21"/>
          <w:szCs w:val="21"/>
          <w:u w:val="none"/>
          <w:lang w:val="en-US" w:eastAsia="zh-CN"/>
        </w:rPr>
        <w:t>）是否涉及进口产品：</w:t>
      </w:r>
    </w:p>
    <w:p w14:paraId="7FF6FE0D">
      <w:pPr>
        <w:widowControl w:val="0"/>
        <w:numPr>
          <w:ilvl w:val="-1"/>
          <w:numId w:val="0"/>
        </w:numPr>
        <w:kinsoku/>
        <w:autoSpaceDE/>
        <w:autoSpaceDN/>
        <w:adjustRightInd w:val="0"/>
        <w:snapToGrid w:val="0"/>
        <w:spacing w:before="0" w:beforeLines="0" w:line="400" w:lineRule="exact"/>
        <w:ind w:firstLine="840" w:firstLineChars="400"/>
        <w:jc w:val="both"/>
        <w:textAlignment w:val="auto"/>
        <w:rPr>
          <w:rFonts w:hint="eastAsia" w:ascii="宋体" w:hAnsi="宋体" w:eastAsia="宋体" w:cs="宋体"/>
          <w:snapToGrid/>
          <w:kern w:val="2"/>
          <w:szCs w:val="21"/>
          <w:u w:val="single"/>
          <w:lang w:val="en-US" w:eastAsia="zh-CN"/>
        </w:rPr>
      </w:pPr>
      <w:r>
        <w:rPr>
          <w:rFonts w:hint="eastAsia" w:ascii="宋体" w:hAnsi="宋体" w:eastAsia="宋体" w:cs="宋体"/>
          <w:iCs w:val="0"/>
          <w:snapToGrid/>
          <w:kern w:val="2"/>
          <w:szCs w:val="21"/>
          <w:lang w:val="en-US" w:eastAsia="zh-CN"/>
        </w:rPr>
        <w:t xml:space="preserve"> </w:t>
      </w:r>
      <w:r>
        <w:rPr>
          <w:rFonts w:hint="eastAsia" w:ascii="宋体" w:hAnsi="宋体" w:eastAsia="宋体" w:cs="宋体"/>
          <w:iCs w:val="0"/>
          <w:snapToGrid/>
          <w:kern w:val="2"/>
          <w:szCs w:val="21"/>
          <w:lang w:eastAsia="zh-CN"/>
        </w:rPr>
        <w:sym w:font="Wingdings" w:char="00A8"/>
      </w:r>
      <w:r>
        <w:rPr>
          <w:rFonts w:hint="eastAsia" w:ascii="宋体" w:hAnsi="宋体" w:eastAsia="宋体" w:cs="宋体"/>
          <w:iCs w:val="0"/>
          <w:snapToGrid/>
          <w:kern w:val="2"/>
          <w:szCs w:val="21"/>
          <w:lang w:eastAsia="zh-CN"/>
        </w:rPr>
        <w:t>是，《政府采购品目分类目录》底级品目名称</w:t>
      </w:r>
      <w:r>
        <w:rPr>
          <w:rFonts w:hint="eastAsia" w:ascii="宋体" w:hAnsi="宋体" w:eastAsia="宋体" w:cs="宋体"/>
          <w:snapToGrid/>
          <w:kern w:val="2"/>
          <w:szCs w:val="21"/>
          <w:lang w:val="en-US" w:eastAsia="zh-CN"/>
        </w:rPr>
        <w:t>：</w:t>
      </w:r>
      <w:r>
        <w:rPr>
          <w:rFonts w:hint="eastAsia" w:ascii="宋体" w:hAnsi="宋体" w:eastAsia="宋体" w:cs="宋体"/>
          <w:snapToGrid/>
          <w:kern w:val="2"/>
          <w:szCs w:val="21"/>
          <w:u w:val="single"/>
          <w:lang w:val="en-US" w:eastAsia="zh-CN"/>
        </w:rPr>
        <w:t xml:space="preserve">         </w:t>
      </w:r>
      <w:r>
        <w:rPr>
          <w:rFonts w:hint="eastAsia" w:ascii="宋体" w:hAnsi="宋体" w:eastAsia="宋体" w:cs="宋体"/>
          <w:snapToGrid/>
          <w:kern w:val="2"/>
          <w:szCs w:val="21"/>
          <w:lang w:val="en-US" w:eastAsia="zh-CN"/>
        </w:rPr>
        <w:t xml:space="preserve"> 金额：</w:t>
      </w:r>
      <w:r>
        <w:rPr>
          <w:rFonts w:hint="eastAsia" w:ascii="宋体" w:hAnsi="宋体" w:eastAsia="宋体" w:cs="宋体"/>
          <w:snapToGrid/>
          <w:kern w:val="2"/>
          <w:szCs w:val="21"/>
          <w:u w:val="single"/>
          <w:lang w:val="en-US" w:eastAsia="zh-CN"/>
        </w:rPr>
        <w:t xml:space="preserve">        </w:t>
      </w:r>
    </w:p>
    <w:p w14:paraId="7483F897">
      <w:pPr>
        <w:widowControl w:val="0"/>
        <w:numPr>
          <w:ilvl w:val="-1"/>
          <w:numId w:val="0"/>
        </w:numPr>
        <w:kinsoku/>
        <w:autoSpaceDE/>
        <w:autoSpaceDN/>
        <w:adjustRightInd w:val="0"/>
        <w:snapToGrid w:val="0"/>
        <w:spacing w:before="0" w:beforeLines="0" w:line="400" w:lineRule="exact"/>
        <w:ind w:firstLine="840" w:firstLineChars="400"/>
        <w:jc w:val="both"/>
        <w:textAlignment w:val="auto"/>
        <w:rPr>
          <w:rFonts w:hint="eastAsia" w:ascii="宋体" w:hAnsi="宋体" w:eastAsia="宋体" w:cs="Times New Roman"/>
          <w:iCs w:val="0"/>
          <w:snapToGrid/>
          <w:kern w:val="2"/>
          <w:szCs w:val="21"/>
          <w:lang w:eastAsia="zh-CN"/>
        </w:rPr>
      </w:pPr>
      <w:r>
        <w:rPr>
          <w:rFonts w:hint="eastAsia" w:ascii="宋体" w:hAnsi="宋体" w:eastAsia="宋体" w:cs="宋体"/>
          <w:snapToGrid/>
          <w:kern w:val="2"/>
          <w:szCs w:val="21"/>
          <w:lang w:val="en-US" w:eastAsia="zh-CN"/>
        </w:rPr>
        <w:t xml:space="preserve">        国别：</w:t>
      </w:r>
      <w:r>
        <w:rPr>
          <w:rFonts w:hint="eastAsia" w:ascii="宋体" w:hAnsi="宋体" w:eastAsia="宋体" w:cs="宋体"/>
          <w:snapToGrid/>
          <w:kern w:val="2"/>
          <w:szCs w:val="21"/>
          <w:u w:val="single"/>
          <w:lang w:val="en-US" w:eastAsia="zh-CN"/>
        </w:rPr>
        <w:t xml:space="preserve">        </w:t>
      </w:r>
      <w:r>
        <w:rPr>
          <w:rFonts w:hint="eastAsia" w:ascii="宋体" w:hAnsi="宋体" w:eastAsia="宋体" w:cs="宋体"/>
          <w:snapToGrid/>
          <w:kern w:val="2"/>
          <w:szCs w:val="21"/>
          <w:lang w:val="en-US" w:eastAsia="zh-CN"/>
        </w:rPr>
        <w:t xml:space="preserve"> 品牌：</w:t>
      </w:r>
      <w:r>
        <w:rPr>
          <w:rFonts w:hint="eastAsia" w:ascii="宋体" w:hAnsi="宋体" w:eastAsia="宋体" w:cs="宋体"/>
          <w:snapToGrid/>
          <w:kern w:val="2"/>
          <w:szCs w:val="21"/>
          <w:u w:val="single"/>
          <w:lang w:val="en-US" w:eastAsia="zh-CN"/>
        </w:rPr>
        <w:t xml:space="preserve">        </w:t>
      </w:r>
      <w:r>
        <w:rPr>
          <w:rFonts w:hint="eastAsia" w:ascii="宋体" w:hAnsi="宋体" w:eastAsia="宋体" w:cs="宋体"/>
          <w:snapToGrid/>
          <w:kern w:val="2"/>
          <w:szCs w:val="21"/>
          <w:u w:val="none"/>
          <w:lang w:val="en-US" w:eastAsia="zh-CN"/>
        </w:rPr>
        <w:t xml:space="preserve"> 规格型号：</w:t>
      </w:r>
      <w:r>
        <w:rPr>
          <w:rFonts w:hint="eastAsia" w:ascii="宋体" w:hAnsi="宋体" w:eastAsia="宋体" w:cs="宋体"/>
          <w:snapToGrid/>
          <w:kern w:val="2"/>
          <w:szCs w:val="21"/>
          <w:u w:val="single"/>
          <w:lang w:val="en-US" w:eastAsia="zh-CN"/>
        </w:rPr>
        <w:t xml:space="preserve">        </w:t>
      </w:r>
      <w:r>
        <w:rPr>
          <w:rFonts w:hint="eastAsia" w:ascii="宋体" w:hAnsi="宋体" w:eastAsia="宋体" w:cs="Times New Roman"/>
          <w:iCs w:val="0"/>
          <w:snapToGrid/>
          <w:kern w:val="2"/>
          <w:szCs w:val="21"/>
          <w:lang w:eastAsia="zh-CN"/>
        </w:rPr>
        <w:t xml:space="preserve">      </w:t>
      </w:r>
    </w:p>
    <w:p w14:paraId="13FCCCB1">
      <w:pPr>
        <w:widowControl w:val="0"/>
        <w:kinsoku/>
        <w:autoSpaceDE/>
        <w:autoSpaceDN/>
        <w:adjustRightInd w:val="0"/>
        <w:snapToGrid w:val="0"/>
        <w:spacing w:before="0" w:beforeLines="0" w:line="400" w:lineRule="exact"/>
        <w:ind w:firstLine="840" w:firstLineChars="400"/>
        <w:jc w:val="both"/>
        <w:textAlignment w:val="auto"/>
        <w:rPr>
          <w:rFonts w:hint="eastAsia" w:ascii="宋体" w:hAnsi="宋体" w:eastAsia="宋体" w:cs="Times New Roman"/>
          <w:snapToGrid/>
          <w:kern w:val="2"/>
          <w:szCs w:val="21"/>
          <w:u w:val="none"/>
          <w:lang w:val="en-US" w:eastAsia="zh-CN"/>
        </w:rPr>
      </w:pPr>
      <w:r>
        <w:rPr>
          <w:rFonts w:hint="eastAsia" w:ascii="宋体" w:hAnsi="宋体" w:eastAsia="宋体" w:cs="Times New Roman"/>
          <w:iCs w:val="0"/>
          <w:snapToGrid/>
          <w:kern w:val="2"/>
          <w:szCs w:val="21"/>
          <w:lang w:val="en-US" w:eastAsia="zh-CN"/>
        </w:rPr>
        <w:t xml:space="preserve"> </w:t>
      </w:r>
      <w:r>
        <w:rPr>
          <w:rFonts w:hint="eastAsia" w:ascii="宋体" w:hAnsi="宋体" w:eastAsia="宋体" w:cs="Times New Roman"/>
          <w:iCs w:val="0"/>
          <w:snapToGrid/>
          <w:kern w:val="2"/>
          <w:szCs w:val="21"/>
          <w:lang w:eastAsia="zh-CN"/>
        </w:rPr>
        <w:sym w:font="Wingdings" w:char="00A8"/>
      </w:r>
      <w:r>
        <w:rPr>
          <w:rFonts w:hint="eastAsia" w:ascii="宋体" w:hAnsi="宋体" w:eastAsia="宋体" w:cs="Times New Roman"/>
          <w:iCs w:val="0"/>
          <w:snapToGrid/>
          <w:kern w:val="2"/>
          <w:szCs w:val="21"/>
          <w:lang w:eastAsia="zh-CN"/>
        </w:rPr>
        <w:t>否</w:t>
      </w:r>
    </w:p>
    <w:p w14:paraId="700B1EBF">
      <w:pPr>
        <w:widowControl w:val="0"/>
        <w:numPr>
          <w:ilvl w:val="-1"/>
          <w:numId w:val="0"/>
        </w:numPr>
        <w:tabs>
          <w:tab w:val="left" w:pos="740"/>
        </w:tabs>
        <w:kinsoku/>
        <w:autoSpaceDE/>
        <w:autoSpaceDN/>
        <w:adjustRightInd w:val="0"/>
        <w:snapToGrid w:val="0"/>
        <w:spacing w:before="0" w:beforeLines="0" w:line="400" w:lineRule="exact"/>
        <w:ind w:left="0" w:firstLine="0" w:firstLineChars="0"/>
        <w:jc w:val="both"/>
        <w:textAlignment w:val="auto"/>
        <w:rPr>
          <w:rFonts w:hint="eastAsia" w:ascii="宋体" w:hAnsi="宋体" w:eastAsia="宋体" w:cs="Times New Roman"/>
          <w:b w:val="0"/>
          <w:bCs w:val="0"/>
          <w:snapToGrid/>
          <w:kern w:val="2"/>
          <w:sz w:val="21"/>
          <w:szCs w:val="21"/>
          <w:u w:val="none"/>
          <w:lang w:val="en-US" w:eastAsia="zh-CN"/>
        </w:rPr>
      </w:pPr>
      <w:r>
        <w:rPr>
          <w:rFonts w:hint="eastAsia" w:ascii="宋体" w:hAnsi="宋体" w:eastAsia="宋体" w:cs="Times New Roman"/>
          <w:b w:val="0"/>
          <w:bCs w:val="0"/>
          <w:snapToGrid/>
          <w:kern w:val="2"/>
          <w:sz w:val="21"/>
          <w:szCs w:val="21"/>
          <w:u w:val="none"/>
          <w:lang w:val="en-US" w:eastAsia="zh-CN"/>
        </w:rPr>
        <w:t xml:space="preserve">    （1</w:t>
      </w:r>
      <w:r>
        <w:rPr>
          <w:rFonts w:hint="default" w:ascii="宋体" w:hAnsi="宋体" w:eastAsia="宋体" w:cs="Times New Roman"/>
          <w:b w:val="0"/>
          <w:bCs w:val="0"/>
          <w:snapToGrid/>
          <w:kern w:val="2"/>
          <w:sz w:val="21"/>
          <w:szCs w:val="21"/>
          <w:u w:val="none"/>
          <w:lang w:val="en" w:eastAsia="zh-CN"/>
        </w:rPr>
        <w:t>0</w:t>
      </w:r>
      <w:r>
        <w:rPr>
          <w:rFonts w:hint="eastAsia" w:ascii="宋体" w:hAnsi="宋体" w:eastAsia="宋体" w:cs="Times New Roman"/>
          <w:b w:val="0"/>
          <w:bCs w:val="0"/>
          <w:snapToGrid/>
          <w:kern w:val="2"/>
          <w:sz w:val="21"/>
          <w:szCs w:val="21"/>
          <w:u w:val="none"/>
          <w:lang w:val="en-US" w:eastAsia="zh-CN"/>
        </w:rPr>
        <w:t>）是否涉及节能产品：</w:t>
      </w:r>
    </w:p>
    <w:p w14:paraId="1F0CE349">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rPr>
          <w:rFonts w:hint="eastAsia" w:ascii="宋体" w:hAnsi="宋体" w:eastAsia="宋体" w:cs="Times New Roman"/>
          <w:iCs/>
          <w:snapToGrid/>
          <w:kern w:val="2"/>
          <w:szCs w:val="21"/>
          <w:lang w:val="en-US" w:eastAsia="zh-CN"/>
        </w:rPr>
      </w:pPr>
      <w:r>
        <w:rPr>
          <w:rFonts w:hint="eastAsia" w:ascii="宋体" w:hAnsi="宋体" w:eastAsia="宋体" w:cs="Times New Roman"/>
          <w:b w:val="0"/>
          <w:bCs w:val="0"/>
          <w:snapToGrid/>
          <w:kern w:val="2"/>
          <w:sz w:val="21"/>
          <w:szCs w:val="21"/>
          <w:u w:val="none"/>
          <w:lang w:val="en-US" w:eastAsia="zh-CN"/>
        </w:rPr>
        <w:t xml:space="preserve">         </w:t>
      </w:r>
      <w:r>
        <w:rPr>
          <w:rFonts w:hint="eastAsia" w:ascii="宋体" w:hAnsi="宋体" w:eastAsia="宋体" w:cs="Times New Roman"/>
          <w:iCs w:val="0"/>
          <w:snapToGrid/>
          <w:kern w:val="2"/>
          <w:szCs w:val="21"/>
          <w:lang w:eastAsia="zh-CN"/>
        </w:rPr>
        <w:sym w:font="Wingdings" w:char="00A8"/>
      </w:r>
      <w:r>
        <w:rPr>
          <w:rFonts w:hint="eastAsia" w:ascii="宋体" w:hAnsi="宋体" w:eastAsia="宋体" w:cs="Times New Roman"/>
          <w:iCs w:val="0"/>
          <w:snapToGrid/>
          <w:kern w:val="2"/>
          <w:szCs w:val="21"/>
          <w:lang w:eastAsia="zh-CN"/>
        </w:rPr>
        <w:t>是，《节能产品政府采购品目清单》的底级品目名称：</w:t>
      </w:r>
      <w:r>
        <w:rPr>
          <w:rFonts w:hint="eastAsia" w:ascii="宋体" w:hAnsi="宋体" w:eastAsia="宋体" w:cs="Times New Roman"/>
          <w:snapToGrid/>
          <w:kern w:val="2"/>
          <w:szCs w:val="21"/>
          <w:u w:val="single"/>
          <w:lang w:val="en-US" w:eastAsia="zh-CN"/>
        </w:rPr>
        <w:t xml:space="preserve">         </w:t>
      </w:r>
      <w:r>
        <w:rPr>
          <w:rFonts w:hint="eastAsia" w:ascii="宋体" w:hAnsi="宋体" w:eastAsia="宋体" w:cs="Times New Roman"/>
          <w:iCs/>
          <w:snapToGrid/>
          <w:kern w:val="2"/>
          <w:szCs w:val="21"/>
          <w:lang w:val="en-US" w:eastAsia="zh-CN"/>
        </w:rPr>
        <w:t xml:space="preserve">     </w:t>
      </w:r>
    </w:p>
    <w:p w14:paraId="79AEA991">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rPr>
          <w:rFonts w:hint="eastAsia" w:ascii="宋体" w:hAnsi="宋体" w:eastAsia="宋体" w:cs="Times New Roman"/>
          <w:iCs/>
          <w:snapToGrid/>
          <w:kern w:val="2"/>
          <w:szCs w:val="21"/>
          <w:lang w:val="en-US" w:eastAsia="zh-CN"/>
        </w:rPr>
      </w:pPr>
      <w:r>
        <w:rPr>
          <w:rFonts w:hint="eastAsia" w:ascii="宋体" w:hAnsi="宋体" w:eastAsia="宋体" w:cs="Times New Roman"/>
          <w:iCs/>
          <w:snapToGrid/>
          <w:kern w:val="2"/>
          <w:szCs w:val="21"/>
          <w:lang w:val="en-US" w:eastAsia="zh-CN"/>
        </w:rPr>
        <w:t xml:space="preserve">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强制采购</w:t>
      </w:r>
      <w:r>
        <w:rPr>
          <w:rFonts w:hint="eastAsia" w:ascii="宋体" w:hAnsi="宋体" w:eastAsia="宋体" w:cs="Times New Roman"/>
          <w:iCs/>
          <w:snapToGrid/>
          <w:kern w:val="2"/>
          <w:szCs w:val="21"/>
          <w:lang w:val="en-US" w:eastAsia="zh-CN"/>
        </w:rPr>
        <w:t xml:space="preserve">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优先采购</w:t>
      </w:r>
      <w:r>
        <w:rPr>
          <w:rFonts w:hint="eastAsia" w:ascii="宋体" w:hAnsi="宋体" w:eastAsia="宋体" w:cs="Times New Roman"/>
          <w:iCs/>
          <w:snapToGrid/>
          <w:kern w:val="2"/>
          <w:szCs w:val="21"/>
          <w:lang w:val="en-US" w:eastAsia="zh-CN"/>
        </w:rPr>
        <w:t xml:space="preserve">    </w:t>
      </w:r>
    </w:p>
    <w:p w14:paraId="3ADF9589">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rPr>
          <w:rFonts w:hint="eastAsia" w:ascii="宋体" w:hAnsi="宋体" w:eastAsia="宋体" w:cs="Times New Roman"/>
          <w:iCs w:val="0"/>
          <w:snapToGrid/>
          <w:kern w:val="2"/>
          <w:szCs w:val="21"/>
          <w:lang w:eastAsia="zh-CN"/>
        </w:rPr>
      </w:pPr>
      <w:r>
        <w:rPr>
          <w:rFonts w:hint="eastAsia" w:ascii="宋体" w:hAnsi="宋体" w:eastAsia="宋体" w:cs="Times New Roman"/>
          <w:iCs/>
          <w:snapToGrid/>
          <w:kern w:val="2"/>
          <w:szCs w:val="21"/>
          <w:lang w:val="en-US" w:eastAsia="zh-CN"/>
        </w:rPr>
        <w:t xml:space="preserve">         </w:t>
      </w:r>
      <w:r>
        <w:rPr>
          <w:rFonts w:hint="eastAsia" w:ascii="宋体" w:hAnsi="宋体" w:eastAsia="宋体" w:cs="Times New Roman"/>
          <w:iCs w:val="0"/>
          <w:snapToGrid/>
          <w:kern w:val="2"/>
          <w:szCs w:val="21"/>
          <w:lang w:eastAsia="zh-CN"/>
        </w:rPr>
        <w:sym w:font="Wingdings" w:char="00A8"/>
      </w:r>
      <w:r>
        <w:rPr>
          <w:rFonts w:hint="eastAsia" w:ascii="宋体" w:hAnsi="宋体" w:eastAsia="宋体" w:cs="Times New Roman"/>
          <w:iCs w:val="0"/>
          <w:snapToGrid/>
          <w:kern w:val="2"/>
          <w:szCs w:val="21"/>
          <w:lang w:eastAsia="zh-CN"/>
        </w:rPr>
        <w:t>否</w:t>
      </w:r>
    </w:p>
    <w:p w14:paraId="672378ED">
      <w:pPr>
        <w:widowControl w:val="0"/>
        <w:numPr>
          <w:ilvl w:val="-1"/>
          <w:numId w:val="0"/>
        </w:numPr>
        <w:tabs>
          <w:tab w:val="left" w:pos="740"/>
        </w:tabs>
        <w:kinsoku/>
        <w:autoSpaceDE/>
        <w:autoSpaceDN/>
        <w:adjustRightInd w:val="0"/>
        <w:snapToGrid w:val="0"/>
        <w:spacing w:before="0" w:beforeLines="0" w:line="400" w:lineRule="exact"/>
        <w:ind w:left="0" w:firstLine="0" w:firstLineChars="0"/>
        <w:jc w:val="both"/>
        <w:textAlignment w:val="auto"/>
        <w:rPr>
          <w:rFonts w:hint="eastAsia" w:ascii="宋体" w:hAnsi="宋体" w:eastAsia="宋体" w:cs="Times New Roman"/>
          <w:b w:val="0"/>
          <w:bCs w:val="0"/>
          <w:snapToGrid/>
          <w:kern w:val="2"/>
          <w:sz w:val="21"/>
          <w:szCs w:val="21"/>
          <w:u w:val="none"/>
          <w:lang w:val="en-US" w:eastAsia="zh-CN"/>
        </w:rPr>
      </w:pPr>
      <w:r>
        <w:rPr>
          <w:rFonts w:hint="eastAsia" w:ascii="宋体" w:hAnsi="宋体" w:eastAsia="宋体" w:cs="Times New Roman"/>
          <w:b w:val="0"/>
          <w:bCs w:val="0"/>
          <w:snapToGrid/>
          <w:kern w:val="2"/>
          <w:sz w:val="21"/>
          <w:szCs w:val="21"/>
          <w:u w:val="none"/>
          <w:lang w:val="en-US" w:eastAsia="zh-CN"/>
        </w:rPr>
        <w:t xml:space="preserve">          是否涉及环境标志产品：</w:t>
      </w:r>
    </w:p>
    <w:p w14:paraId="0D640FE9">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rPr>
          <w:rFonts w:hint="eastAsia" w:ascii="宋体" w:hAnsi="宋体" w:eastAsia="宋体" w:cs="Times New Roman"/>
          <w:iCs w:val="0"/>
          <w:snapToGrid/>
          <w:kern w:val="2"/>
          <w:szCs w:val="21"/>
          <w:lang w:eastAsia="zh-CN"/>
        </w:rPr>
      </w:pPr>
      <w:r>
        <w:rPr>
          <w:rFonts w:hint="eastAsia" w:ascii="宋体" w:hAnsi="宋体" w:eastAsia="宋体" w:cs="Times New Roman"/>
          <w:b w:val="0"/>
          <w:bCs w:val="0"/>
          <w:snapToGrid/>
          <w:kern w:val="2"/>
          <w:sz w:val="21"/>
          <w:szCs w:val="21"/>
          <w:u w:val="none"/>
          <w:lang w:val="en-US" w:eastAsia="zh-CN"/>
        </w:rPr>
        <w:t xml:space="preserve">         </w:t>
      </w:r>
      <w:r>
        <w:rPr>
          <w:rFonts w:hint="eastAsia" w:ascii="宋体" w:hAnsi="宋体" w:eastAsia="宋体" w:cs="Times New Roman"/>
          <w:iCs w:val="0"/>
          <w:snapToGrid/>
          <w:kern w:val="2"/>
          <w:szCs w:val="21"/>
          <w:lang w:eastAsia="zh-CN"/>
        </w:rPr>
        <w:sym w:font="Wingdings" w:char="00A8"/>
      </w:r>
      <w:r>
        <w:rPr>
          <w:rFonts w:hint="eastAsia" w:ascii="宋体" w:hAnsi="宋体" w:eastAsia="宋体" w:cs="Times New Roman"/>
          <w:iCs w:val="0"/>
          <w:snapToGrid/>
          <w:kern w:val="2"/>
          <w:szCs w:val="21"/>
          <w:lang w:eastAsia="zh-CN"/>
        </w:rPr>
        <w:t>是，《环境标志产品政府采购品目清单》的底级品目名称：</w:t>
      </w:r>
      <w:r>
        <w:rPr>
          <w:rFonts w:hint="eastAsia" w:ascii="宋体" w:hAnsi="宋体" w:eastAsia="宋体" w:cs="Times New Roman"/>
          <w:snapToGrid/>
          <w:kern w:val="2"/>
          <w:szCs w:val="21"/>
          <w:u w:val="single"/>
          <w:lang w:val="en-US" w:eastAsia="zh-CN"/>
        </w:rPr>
        <w:t xml:space="preserve">         </w:t>
      </w:r>
      <w:r>
        <w:rPr>
          <w:rFonts w:hint="eastAsia" w:ascii="宋体" w:hAnsi="宋体" w:eastAsia="宋体" w:cs="Times New Roman"/>
          <w:iCs/>
          <w:snapToGrid/>
          <w:kern w:val="2"/>
          <w:szCs w:val="21"/>
          <w:lang w:val="en-US" w:eastAsia="zh-CN"/>
        </w:rPr>
        <w:t xml:space="preserve"> </w:t>
      </w:r>
    </w:p>
    <w:p w14:paraId="1DCA4637">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rPr>
          <w:rFonts w:hint="eastAsia" w:ascii="宋体" w:hAnsi="宋体" w:eastAsia="宋体" w:cs="Times New Roman"/>
          <w:iCs/>
          <w:snapToGrid/>
          <w:kern w:val="2"/>
          <w:szCs w:val="21"/>
          <w:lang w:val="en-US" w:eastAsia="zh-CN"/>
        </w:rPr>
      </w:pPr>
      <w:r>
        <w:rPr>
          <w:rFonts w:hint="eastAsia" w:ascii="宋体" w:hAnsi="宋体" w:eastAsia="宋体" w:cs="Times New Roman"/>
          <w:iCs/>
          <w:snapToGrid/>
          <w:kern w:val="2"/>
          <w:szCs w:val="21"/>
          <w:lang w:val="en-US" w:eastAsia="zh-CN"/>
        </w:rPr>
        <w:t xml:space="preserve">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强制采购</w:t>
      </w:r>
      <w:r>
        <w:rPr>
          <w:rFonts w:hint="eastAsia" w:ascii="宋体" w:hAnsi="宋体" w:eastAsia="宋体" w:cs="Times New Roman"/>
          <w:iCs/>
          <w:snapToGrid/>
          <w:kern w:val="2"/>
          <w:szCs w:val="21"/>
          <w:lang w:val="en-US" w:eastAsia="zh-CN"/>
        </w:rPr>
        <w:t xml:space="preserve">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优先采购</w:t>
      </w:r>
      <w:r>
        <w:rPr>
          <w:rFonts w:hint="eastAsia" w:ascii="宋体" w:hAnsi="宋体" w:eastAsia="宋体" w:cs="Times New Roman"/>
          <w:iCs/>
          <w:snapToGrid/>
          <w:kern w:val="2"/>
          <w:szCs w:val="21"/>
          <w:lang w:val="en-US" w:eastAsia="zh-CN"/>
        </w:rPr>
        <w:t xml:space="preserve">    </w:t>
      </w:r>
    </w:p>
    <w:p w14:paraId="6036EFB3">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rPr>
          <w:rFonts w:hint="eastAsia" w:ascii="宋体" w:hAnsi="宋体" w:eastAsia="宋体" w:cs="Times New Roman"/>
          <w:b w:val="0"/>
          <w:bCs w:val="0"/>
          <w:snapToGrid/>
          <w:kern w:val="2"/>
          <w:sz w:val="21"/>
          <w:szCs w:val="21"/>
          <w:u w:val="none"/>
          <w:lang w:val="en-US" w:eastAsia="zh-CN"/>
        </w:rPr>
      </w:pPr>
      <w:r>
        <w:rPr>
          <w:rFonts w:hint="eastAsia" w:ascii="宋体" w:hAnsi="宋体" w:eastAsia="宋体" w:cs="Times New Roman"/>
          <w:iCs/>
          <w:snapToGrid/>
          <w:kern w:val="2"/>
          <w:szCs w:val="21"/>
          <w:lang w:val="en-US" w:eastAsia="zh-CN"/>
        </w:rPr>
        <w:t xml:space="preserve">         </w:t>
      </w:r>
      <w:r>
        <w:rPr>
          <w:rFonts w:hint="eastAsia" w:ascii="宋体" w:hAnsi="宋体" w:eastAsia="宋体" w:cs="Times New Roman"/>
          <w:iCs w:val="0"/>
          <w:snapToGrid/>
          <w:kern w:val="2"/>
          <w:szCs w:val="21"/>
          <w:lang w:eastAsia="zh-CN"/>
        </w:rPr>
        <w:sym w:font="Wingdings" w:char="00A8"/>
      </w:r>
      <w:r>
        <w:rPr>
          <w:rFonts w:hint="eastAsia" w:ascii="宋体" w:hAnsi="宋体" w:eastAsia="宋体" w:cs="Times New Roman"/>
          <w:iCs w:val="0"/>
          <w:snapToGrid/>
          <w:kern w:val="2"/>
          <w:szCs w:val="21"/>
          <w:lang w:eastAsia="zh-CN"/>
        </w:rPr>
        <w:t>否</w:t>
      </w:r>
    </w:p>
    <w:p w14:paraId="02B2535D">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bidi="ar-SA"/>
        </w:rPr>
      </w:pPr>
      <w:r>
        <w:rPr>
          <w:rFonts w:hint="eastAsia" w:ascii="宋体" w:hAnsi="宋体" w:eastAsia="华文楷体" w:cs="华文楷体"/>
          <w:b w:val="0"/>
          <w:bCs w:val="0"/>
          <w:sz w:val="21"/>
          <w:szCs w:val="21"/>
          <w:u w:val="none"/>
          <w:lang w:val="en-US" w:eastAsia="zh-CN" w:bidi="ar-SA"/>
        </w:rPr>
        <w:t xml:space="preserve">          </w:t>
      </w:r>
      <w:r>
        <w:rPr>
          <w:rFonts w:hint="eastAsia" w:ascii="宋体" w:hAnsi="宋体" w:eastAsia="宋体" w:cs="Times New Roman"/>
          <w:b w:val="0"/>
          <w:bCs w:val="0"/>
          <w:kern w:val="2"/>
          <w:sz w:val="21"/>
          <w:szCs w:val="21"/>
          <w:u w:val="none"/>
          <w:lang w:val="en-US" w:eastAsia="zh-CN" w:bidi="ar-SA"/>
        </w:rPr>
        <w:t>是否涉及绿色产品：</w:t>
      </w:r>
      <w:r>
        <w:rPr>
          <w:rFonts w:hint="eastAsia" w:ascii="宋体" w:hAnsi="宋体" w:eastAsia="宋体" w:cs="Times New Roman"/>
          <w:iCs w:val="0"/>
          <w:kern w:val="2"/>
          <w:sz w:val="21"/>
          <w:szCs w:val="21"/>
          <w:u w:val="none"/>
          <w:lang w:val="en-US" w:eastAsia="zh-CN" w:bidi="ar-SA"/>
        </w:rPr>
        <w:t xml:space="preserve"> </w:t>
      </w:r>
    </w:p>
    <w:p w14:paraId="5289CDFE">
      <w:pPr>
        <w:autoSpaceDE w:val="0"/>
        <w:autoSpaceDN w:val="0"/>
        <w:adjustRightInd w:val="0"/>
        <w:spacing w:beforeLines="0" w:line="400" w:lineRule="exact"/>
        <w:ind w:firstLine="420" w:firstLineChars="0"/>
        <w:rPr>
          <w:rFonts w:hint="eastAsia" w:ascii="宋体" w:hAnsi="宋体" w:eastAsia="宋体" w:cs="华文楷体"/>
          <w:sz w:val="22"/>
          <w:szCs w:val="21"/>
          <w:u w:val="singl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是，绿色产品政府采购相关政策确定的底级品目名称：</w:t>
      </w:r>
      <w:r>
        <w:rPr>
          <w:rFonts w:hint="eastAsia" w:ascii="宋体" w:hAnsi="宋体" w:eastAsia="宋体" w:cs="华文楷体"/>
          <w:sz w:val="22"/>
          <w:szCs w:val="21"/>
          <w:u w:val="single"/>
          <w:lang w:val="en-US" w:eastAsia="zh-CN" w:bidi="ar-SA"/>
        </w:rPr>
        <w:t xml:space="preserve">         </w:t>
      </w:r>
    </w:p>
    <w:p w14:paraId="32859C0A">
      <w:pPr>
        <w:widowControl w:val="0"/>
        <w:numPr>
          <w:ilvl w:val="-1"/>
          <w:numId w:val="0"/>
        </w:numPr>
        <w:tabs>
          <w:tab w:val="left" w:pos="740"/>
        </w:tabs>
        <w:kinsoku/>
        <w:autoSpaceDE/>
        <w:autoSpaceDN/>
        <w:adjustRightInd w:val="0"/>
        <w:snapToGrid w:val="0"/>
        <w:spacing w:before="0" w:beforeLines="0" w:line="400" w:lineRule="exact"/>
        <w:ind w:firstLine="0" w:firstLineChars="0"/>
        <w:jc w:val="both"/>
        <w:textAlignment w:val="auto"/>
        <w:rPr>
          <w:rFonts w:hint="eastAsia" w:ascii="宋体" w:hAnsi="宋体" w:eastAsia="宋体" w:cs="Times New Roman"/>
          <w:iCs/>
          <w:snapToGrid/>
          <w:kern w:val="2"/>
          <w:szCs w:val="21"/>
          <w:lang w:val="en-US" w:eastAsia="zh-CN"/>
        </w:rPr>
      </w:pPr>
      <w:r>
        <w:rPr>
          <w:rFonts w:hint="eastAsia" w:ascii="宋体" w:hAnsi="宋体" w:eastAsia="宋体" w:cs="Times New Roman"/>
          <w:iCs/>
          <w:snapToGrid/>
          <w:kern w:val="2"/>
          <w:szCs w:val="21"/>
          <w:lang w:val="en-US" w:eastAsia="zh-CN"/>
        </w:rPr>
        <w:t xml:space="preserve">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强制采购</w:t>
      </w:r>
      <w:r>
        <w:rPr>
          <w:rFonts w:hint="eastAsia" w:ascii="宋体" w:hAnsi="宋体" w:eastAsia="宋体" w:cs="Times New Roman"/>
          <w:iCs/>
          <w:snapToGrid/>
          <w:kern w:val="2"/>
          <w:szCs w:val="21"/>
          <w:lang w:val="en-US" w:eastAsia="zh-CN"/>
        </w:rPr>
        <w:t xml:space="preserve">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优先采购</w:t>
      </w:r>
      <w:r>
        <w:rPr>
          <w:rFonts w:hint="eastAsia" w:ascii="宋体" w:hAnsi="宋体" w:eastAsia="宋体" w:cs="Times New Roman"/>
          <w:iCs/>
          <w:snapToGrid/>
          <w:kern w:val="2"/>
          <w:szCs w:val="21"/>
          <w:lang w:val="en-US" w:eastAsia="zh-CN"/>
        </w:rPr>
        <w:t xml:space="preserve">    </w:t>
      </w:r>
    </w:p>
    <w:p w14:paraId="16F33EFF">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u w:val="none"/>
          <w:lang w:val="en-US" w:eastAsia="zh-CN" w:bidi="ar-SA"/>
        </w:rPr>
      </w:pPr>
      <w:r>
        <w:rPr>
          <w:rFonts w:hint="eastAsia" w:ascii="宋体" w:hAnsi="宋体" w:eastAsia="宋体" w:cs="Times New Roman"/>
          <w:iCs w:val="0"/>
          <w:kern w:val="2"/>
          <w:sz w:val="21"/>
          <w:szCs w:val="21"/>
          <w:u w:val="none"/>
          <w:lang w:val="en-US" w:eastAsia="zh-CN" w:bidi="ar-SA"/>
        </w:rPr>
        <w:t xml:space="preserve">     </w:t>
      </w:r>
      <w:r>
        <w:rPr>
          <w:rFonts w:hint="eastAsia" w:ascii="宋体" w:hAnsi="宋体" w:eastAsia="宋体" w:cs="Times New Roman"/>
          <w:iCs w:val="0"/>
          <w:kern w:val="2"/>
          <w:sz w:val="21"/>
          <w:szCs w:val="21"/>
          <w:u w:val="none"/>
          <w:lang w:val="en-US" w:eastAsia="zh-CN" w:bidi="ar-SA"/>
        </w:rPr>
        <w:sym w:font="Wingdings" w:char="00A8"/>
      </w:r>
      <w:r>
        <w:rPr>
          <w:rFonts w:hint="eastAsia" w:ascii="宋体" w:hAnsi="宋体" w:eastAsia="宋体" w:cs="Times New Roman"/>
          <w:iCs w:val="0"/>
          <w:kern w:val="2"/>
          <w:sz w:val="21"/>
          <w:szCs w:val="21"/>
          <w:u w:val="none"/>
          <w:lang w:val="en-US" w:eastAsia="zh-CN" w:bidi="ar-SA"/>
        </w:rPr>
        <w:t>否</w:t>
      </w:r>
    </w:p>
    <w:p w14:paraId="491BCEE9">
      <w:pPr>
        <w:widowControl w:val="0"/>
        <w:numPr>
          <w:ilvl w:val="-1"/>
          <w:numId w:val="0"/>
        </w:numPr>
        <w:kinsoku/>
        <w:autoSpaceDE/>
        <w:autoSpaceDN/>
        <w:adjustRightInd w:val="0"/>
        <w:snapToGrid w:val="0"/>
        <w:spacing w:before="0" w:beforeLines="0" w:line="400" w:lineRule="exact"/>
        <w:ind w:firstLine="0" w:firstLineChars="0"/>
        <w:jc w:val="both"/>
        <w:textAlignment w:val="auto"/>
        <w:rPr>
          <w:rFonts w:hint="eastAsia" w:ascii="宋体" w:hAnsi="宋体" w:eastAsia="宋体" w:cs="Times New Roman"/>
          <w:snapToGrid/>
          <w:kern w:val="2"/>
          <w:szCs w:val="21"/>
          <w:lang w:val="en-US" w:eastAsia="zh-CN"/>
        </w:rPr>
      </w:pPr>
      <w:r>
        <w:rPr>
          <w:rFonts w:hint="eastAsia" w:ascii="宋体" w:hAnsi="宋体" w:eastAsia="宋体" w:cs="Times New Roman"/>
          <w:snapToGrid/>
          <w:kern w:val="2"/>
          <w:szCs w:val="21"/>
          <w:lang w:val="en-US" w:eastAsia="zh-CN"/>
        </w:rPr>
        <w:t xml:space="preserve">    （1</w:t>
      </w:r>
      <w:r>
        <w:rPr>
          <w:rFonts w:hint="default" w:ascii="宋体" w:hAnsi="宋体" w:eastAsia="宋体" w:cs="Times New Roman"/>
          <w:snapToGrid/>
          <w:kern w:val="2"/>
          <w:szCs w:val="21"/>
          <w:lang w:val="en" w:eastAsia="zh-CN"/>
        </w:rPr>
        <w:t>1</w:t>
      </w:r>
      <w:r>
        <w:rPr>
          <w:rFonts w:hint="eastAsia" w:ascii="宋体" w:hAnsi="宋体" w:eastAsia="宋体" w:cs="Times New Roman"/>
          <w:snapToGrid/>
          <w:kern w:val="2"/>
          <w:szCs w:val="21"/>
          <w:lang w:val="en-US" w:eastAsia="zh-CN"/>
        </w:rPr>
        <w:t>）涉及商品包装和快递包装的，是否参考</w:t>
      </w:r>
      <w:r>
        <w:rPr>
          <w:rFonts w:hint="eastAsia" w:ascii="宋体" w:hAnsi="宋体" w:eastAsia="宋体" w:cs="Times New Roman"/>
          <w:snapToGrid/>
          <w:kern w:val="2"/>
          <w:szCs w:val="21"/>
          <w:lang w:eastAsia="zh-CN"/>
        </w:rPr>
        <w:t>《商品包装政府采购需求标准（试行）》、《快递包装政府采购需求标准（试行）》明确产品及相关快递服务的具体包装要求：</w:t>
      </w:r>
    </w:p>
    <w:p w14:paraId="7674C2D2">
      <w:pPr>
        <w:widowControl w:val="0"/>
        <w:numPr>
          <w:ilvl w:val="-1"/>
          <w:numId w:val="0"/>
        </w:numPr>
        <w:kinsoku/>
        <w:autoSpaceDE/>
        <w:autoSpaceDN/>
        <w:adjustRightInd w:val="0"/>
        <w:snapToGrid w:val="0"/>
        <w:spacing w:before="0" w:beforeLines="0" w:line="400" w:lineRule="exact"/>
        <w:ind w:firstLine="840" w:firstLineChars="400"/>
        <w:jc w:val="both"/>
        <w:textAlignment w:val="auto"/>
        <w:rPr>
          <w:rFonts w:hint="eastAsia" w:ascii="宋体" w:hAnsi="宋体" w:eastAsia="宋体" w:cs="Times New Roman"/>
          <w:iCs w:val="0"/>
          <w:snapToGrid/>
          <w:kern w:val="2"/>
          <w:szCs w:val="21"/>
          <w:lang w:val="en-US" w:eastAsia="zh-CN"/>
        </w:rPr>
      </w:pPr>
      <w:r>
        <w:rPr>
          <w:rFonts w:hint="eastAsia" w:ascii="宋体" w:hAnsi="宋体" w:eastAsia="宋体" w:cs="Times New Roman"/>
          <w:iCs w:val="0"/>
          <w:snapToGrid/>
          <w:kern w:val="2"/>
          <w:szCs w:val="21"/>
          <w:lang w:eastAsia="zh-CN"/>
        </w:rPr>
        <w:sym w:font="Wingdings" w:char="00A8"/>
      </w:r>
      <w:r>
        <w:rPr>
          <w:rFonts w:hint="eastAsia" w:ascii="宋体" w:hAnsi="宋体" w:eastAsia="宋体" w:cs="Times New Roman"/>
          <w:iCs w:val="0"/>
          <w:snapToGrid/>
          <w:kern w:val="2"/>
          <w:szCs w:val="21"/>
          <w:lang w:eastAsia="zh-CN"/>
        </w:rPr>
        <w:t xml:space="preserve">是       </w:t>
      </w:r>
      <w:r>
        <w:rPr>
          <w:rFonts w:hint="eastAsia" w:ascii="宋体" w:hAnsi="宋体" w:eastAsia="宋体" w:cs="Times New Roman"/>
          <w:iCs w:val="0"/>
          <w:snapToGrid/>
          <w:kern w:val="2"/>
          <w:szCs w:val="21"/>
          <w:lang w:eastAsia="zh-CN"/>
        </w:rPr>
        <w:sym w:font="Wingdings" w:char="00A8"/>
      </w:r>
      <w:r>
        <w:rPr>
          <w:rFonts w:hint="eastAsia" w:ascii="宋体" w:hAnsi="宋体" w:eastAsia="宋体" w:cs="Times New Roman"/>
          <w:iCs w:val="0"/>
          <w:snapToGrid/>
          <w:kern w:val="2"/>
          <w:szCs w:val="21"/>
          <w:lang w:eastAsia="zh-CN"/>
        </w:rPr>
        <w:t>否</w:t>
      </w:r>
      <w:r>
        <w:rPr>
          <w:rFonts w:hint="eastAsia" w:ascii="宋体" w:hAnsi="宋体" w:eastAsia="宋体" w:cs="Times New Roman"/>
          <w:iCs w:val="0"/>
          <w:snapToGrid/>
          <w:kern w:val="2"/>
          <w:szCs w:val="21"/>
          <w:lang w:val="en-US" w:eastAsia="zh-CN"/>
        </w:rPr>
        <w:t xml:space="preserve">      </w:t>
      </w:r>
      <w:r>
        <w:rPr>
          <w:rFonts w:hint="eastAsia" w:ascii="宋体" w:hAnsi="宋体" w:eastAsia="宋体" w:cs="Times New Roman"/>
          <w:iCs w:val="0"/>
          <w:snapToGrid/>
          <w:kern w:val="2"/>
          <w:szCs w:val="21"/>
          <w:lang w:eastAsia="zh-CN"/>
        </w:rPr>
        <w:sym w:font="Wingdings" w:char="00A8"/>
      </w:r>
      <w:r>
        <w:rPr>
          <w:rFonts w:hint="eastAsia" w:ascii="宋体" w:hAnsi="宋体" w:eastAsia="宋体" w:cs="Times New Roman"/>
          <w:iCs w:val="0"/>
          <w:snapToGrid/>
          <w:kern w:val="2"/>
          <w:szCs w:val="21"/>
          <w:lang w:eastAsia="zh-CN"/>
        </w:rPr>
        <w:t>不涉及</w:t>
      </w:r>
    </w:p>
    <w:p w14:paraId="527D601A">
      <w:pPr>
        <w:widowControl w:val="0"/>
        <w:numPr>
          <w:ilvl w:val="0"/>
          <w:numId w:val="1"/>
        </w:numPr>
        <w:kinsoku/>
        <w:autoSpaceDE/>
        <w:autoSpaceDN/>
        <w:adjustRightInd w:val="0"/>
        <w:snapToGrid w:val="0"/>
        <w:spacing w:before="0" w:beforeLines="0" w:line="400" w:lineRule="exact"/>
        <w:ind w:firstLine="422" w:firstLineChars="200"/>
        <w:jc w:val="both"/>
        <w:textAlignment w:val="auto"/>
        <w:rPr>
          <w:rFonts w:ascii="宋体" w:hAnsi="宋体" w:eastAsia="宋体" w:cs="Times New Roman"/>
          <w:b/>
          <w:snapToGrid/>
          <w:kern w:val="2"/>
          <w:szCs w:val="21"/>
          <w:highlight w:val="none"/>
          <w:lang w:eastAsia="zh-CN"/>
        </w:rPr>
      </w:pPr>
      <w:r>
        <w:rPr>
          <w:rFonts w:hint="eastAsia" w:ascii="宋体" w:hAnsi="宋体" w:eastAsia="宋体" w:cs="Times New Roman"/>
          <w:b/>
          <w:snapToGrid/>
          <w:kern w:val="2"/>
          <w:szCs w:val="21"/>
          <w:highlight w:val="none"/>
          <w:lang w:eastAsia="zh-CN"/>
        </w:rPr>
        <w:t>合同金额</w:t>
      </w:r>
    </w:p>
    <w:p w14:paraId="2ADD24D3">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（1）合同金额小写：</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u w:val="single"/>
          <w:lang w:val="en-US" w:eastAsia="zh-CN"/>
        </w:rPr>
        <w:t xml:space="preserve">    </w:t>
      </w:r>
      <w:r>
        <w:rPr>
          <w:rFonts w:hint="eastAsia" w:ascii="宋体" w:hAnsi="宋体" w:eastAsia="宋体" w:cs="Times New Roman"/>
          <w:snapToGrid/>
          <w:kern w:val="2"/>
          <w:szCs w:val="21"/>
          <w:u w:val="single"/>
          <w:lang w:eastAsia="zh-CN"/>
        </w:rPr>
        <w:t xml:space="preserve">      </w:t>
      </w:r>
    </w:p>
    <w:p w14:paraId="6CFAB2FE">
      <w:pPr>
        <w:widowControl w:val="0"/>
        <w:kinsoku/>
        <w:autoSpaceDE/>
        <w:autoSpaceDN/>
        <w:adjustRightInd w:val="0"/>
        <w:snapToGrid w:val="0"/>
        <w:spacing w:before="0" w:beforeLines="0" w:line="400" w:lineRule="exact"/>
        <w:ind w:left="0" w:firstLine="0" w:firstLineChars="0"/>
        <w:jc w:val="both"/>
        <w:textAlignment w:val="auto"/>
        <w:rPr>
          <w:rFonts w:hint="eastAsia" w:ascii="宋体" w:hAnsi="宋体" w:eastAsia="宋体" w:cs="Times New Roman"/>
          <w:snapToGrid/>
          <w:kern w:val="2"/>
          <w:szCs w:val="21"/>
          <w:lang w:val="en-US" w:eastAsia="zh-CN"/>
        </w:rPr>
      </w:pPr>
      <w:r>
        <w:rPr>
          <w:rFonts w:hint="eastAsia" w:ascii="宋体" w:hAnsi="宋体" w:eastAsia="宋体" w:cs="Times New Roman"/>
          <w:snapToGrid/>
          <w:kern w:val="2"/>
          <w:szCs w:val="21"/>
          <w:lang w:val="en-US" w:eastAsia="zh-CN"/>
        </w:rPr>
        <w:t xml:space="preserve">                 </w:t>
      </w:r>
      <w:r>
        <w:rPr>
          <w:rFonts w:hint="eastAsia" w:ascii="宋体" w:hAnsi="宋体" w:eastAsia="宋体" w:cs="Times New Roman"/>
          <w:snapToGrid/>
          <w:kern w:val="2"/>
          <w:szCs w:val="21"/>
          <w:lang w:eastAsia="zh-CN"/>
        </w:rPr>
        <w:t>大写：</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u w:val="single"/>
          <w:lang w:val="en-US" w:eastAsia="zh-CN"/>
        </w:rPr>
        <w:t xml:space="preserve"> </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u w:val="single"/>
          <w:lang w:val="en-US" w:eastAsia="zh-CN"/>
        </w:rPr>
        <w:t xml:space="preserve">    </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lang w:val="en-US" w:eastAsia="zh-CN"/>
        </w:rPr>
        <w:t xml:space="preserve">        </w:t>
      </w:r>
    </w:p>
    <w:p w14:paraId="12B4F90C">
      <w:pPr>
        <w:widowControl w:val="0"/>
        <w:numPr>
          <w:ilvl w:val="-1"/>
          <w:numId w:val="0"/>
        </w:numPr>
        <w:kinsoku/>
        <w:autoSpaceDE/>
        <w:autoSpaceDN/>
        <w:adjustRightInd w:val="0"/>
        <w:snapToGrid w:val="0"/>
        <w:spacing w:before="0" w:beforeLines="0" w:line="400" w:lineRule="exact"/>
        <w:ind w:firstLine="0" w:firstLineChars="0"/>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val="en-US" w:eastAsia="zh-CN"/>
        </w:rPr>
        <w:t xml:space="preserve">    </w:t>
      </w:r>
      <w:r>
        <w:rPr>
          <w:rFonts w:hint="eastAsia" w:ascii="宋体" w:hAnsi="宋体" w:eastAsia="宋体" w:cs="Times New Roman"/>
          <w:snapToGrid/>
          <w:kern w:val="2"/>
          <w:szCs w:val="21"/>
          <w:lang w:eastAsia="zh-CN"/>
        </w:rPr>
        <w:t>（</w:t>
      </w:r>
      <w:r>
        <w:rPr>
          <w:rFonts w:hint="eastAsia" w:ascii="宋体" w:hAnsi="宋体" w:eastAsia="宋体" w:cs="Times New Roman"/>
          <w:snapToGrid/>
          <w:kern w:val="2"/>
          <w:szCs w:val="21"/>
          <w:lang w:val="en-US" w:eastAsia="zh-CN"/>
        </w:rPr>
        <w:t>2</w:t>
      </w:r>
      <w:r>
        <w:rPr>
          <w:rFonts w:hint="eastAsia" w:ascii="宋体" w:hAnsi="宋体" w:eastAsia="宋体" w:cs="Times New Roman"/>
          <w:snapToGrid/>
          <w:kern w:val="2"/>
          <w:szCs w:val="21"/>
          <w:lang w:eastAsia="zh-CN"/>
        </w:rPr>
        <w:t>）合同定价方式：</w:t>
      </w:r>
    </w:p>
    <w:p w14:paraId="2E98B84E">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iCs/>
          <w:snapToGrid/>
          <w:kern w:val="2"/>
          <w:szCs w:val="21"/>
          <w:lang w:val="en-US" w:eastAsia="zh-CN"/>
        </w:rPr>
        <w:t xml:space="preserve">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 xml:space="preserve">固定总价 </w:t>
      </w:r>
      <w:r>
        <w:rPr>
          <w:rFonts w:hint="eastAsia" w:ascii="宋体" w:hAnsi="宋体" w:eastAsia="宋体" w:cs="Times New Roman"/>
          <w:iCs/>
          <w:snapToGrid/>
          <w:kern w:val="2"/>
          <w:szCs w:val="21"/>
          <w:lang w:eastAsia="zh-CN"/>
        </w:rPr>
        <w:sym w:font="Wingdings" w:char="00FE"/>
      </w:r>
      <w:r>
        <w:rPr>
          <w:rFonts w:hint="eastAsia" w:ascii="宋体" w:hAnsi="宋体" w:eastAsia="宋体" w:cs="Times New Roman"/>
          <w:iCs/>
          <w:snapToGrid/>
          <w:kern w:val="2"/>
          <w:szCs w:val="21"/>
          <w:lang w:eastAsia="zh-CN"/>
        </w:rPr>
        <w:t>固定单价</w:t>
      </w:r>
      <w:r>
        <w:rPr>
          <w:rFonts w:hint="eastAsia" w:ascii="宋体" w:hAnsi="宋体" w:eastAsia="宋体" w:cs="Times New Roman"/>
          <w:iCs/>
          <w:snapToGrid/>
          <w:kern w:val="2"/>
          <w:szCs w:val="21"/>
          <w:lang w:val="en-US" w:eastAsia="zh-CN"/>
        </w:rPr>
        <w:t xml:space="preserve">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 xml:space="preserve">固定费率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 xml:space="preserve">成本补偿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绩效激励</w:t>
      </w:r>
      <w:r>
        <w:rPr>
          <w:rFonts w:hint="eastAsia" w:ascii="宋体" w:hAnsi="宋体" w:eastAsia="宋体" w:cs="Times New Roman"/>
          <w:iCs/>
          <w:snapToGrid/>
          <w:kern w:val="2"/>
          <w:szCs w:val="21"/>
          <w:lang w:val="en-US" w:eastAsia="zh-CN"/>
        </w:rPr>
        <w:t xml:space="preserve"> </w:t>
      </w:r>
      <w:r>
        <w:rPr>
          <w:rFonts w:hint="eastAsia" w:ascii="宋体" w:hAnsi="宋体" w:eastAsia="宋体" w:cs="Times New Roman"/>
          <w:iCs/>
          <w:snapToGrid/>
          <w:kern w:val="2"/>
          <w:szCs w:val="21"/>
          <w:lang w:eastAsia="zh-CN"/>
        </w:rPr>
        <w:sym w:font="Wingdings" w:char="00A8"/>
      </w:r>
      <w:r>
        <w:rPr>
          <w:rFonts w:hint="eastAsia" w:ascii="宋体" w:hAnsi="宋体" w:eastAsia="宋体" w:cs="Times New Roman"/>
          <w:iCs/>
          <w:snapToGrid/>
          <w:kern w:val="2"/>
          <w:szCs w:val="21"/>
          <w:lang w:eastAsia="zh-CN"/>
        </w:rPr>
        <w:t>其他</w:t>
      </w:r>
      <w:r>
        <w:rPr>
          <w:rFonts w:hint="eastAsia" w:ascii="宋体" w:hAnsi="宋体" w:eastAsia="宋体" w:cs="Times New Roman"/>
          <w:snapToGrid/>
          <w:kern w:val="2"/>
          <w:szCs w:val="21"/>
          <w:u w:val="single"/>
          <w:lang w:eastAsia="zh-CN"/>
        </w:rPr>
        <w:t xml:space="preserve">       </w:t>
      </w:r>
    </w:p>
    <w:p w14:paraId="14FA8C3D">
      <w:pPr>
        <w:widowControl w:val="0"/>
        <w:spacing w:beforeLines="0" w:line="400" w:lineRule="exact"/>
        <w:ind w:firstLine="420" w:firstLineChars="200"/>
        <w:jc w:val="both"/>
        <w:rPr>
          <w:rFonts w:ascii="Times New Roman"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（3）付款方式：</w:t>
      </w:r>
    </w:p>
    <w:p w14:paraId="08097B79">
      <w:pPr>
        <w:widowControl w:val="0"/>
        <w:kinsoku/>
        <w:autoSpaceDE/>
        <w:autoSpaceDN/>
        <w:adjustRightInd w:val="0"/>
        <w:snapToGrid w:val="0"/>
        <w:spacing w:before="0" w:beforeLines="0" w:line="400" w:lineRule="exact"/>
        <w:ind w:firstLine="630" w:firstLineChars="300"/>
        <w:jc w:val="both"/>
        <w:textAlignment w:val="auto"/>
        <w:rPr>
          <w:rFonts w:ascii="宋体" w:hAnsi="宋体" w:eastAsia="宋体" w:cs="Times New Roman"/>
          <w:snapToGrid/>
          <w:kern w:val="2"/>
          <w:szCs w:val="21"/>
          <w:u w:val="single"/>
          <w:lang w:eastAsia="zh-CN"/>
        </w:rPr>
      </w:pPr>
      <w:r>
        <w:rPr>
          <w:rFonts w:hint="eastAsia" w:ascii="宋体" w:hAnsi="宋体" w:eastAsia="宋体" w:cs="Times New Roman"/>
          <w:snapToGrid/>
          <w:kern w:val="2"/>
          <w:szCs w:val="21"/>
          <w:lang w:eastAsia="zh-CN"/>
        </w:rPr>
        <w:sym w:font="Wingdings" w:char="00A8"/>
      </w:r>
      <w:r>
        <w:rPr>
          <w:rFonts w:hint="eastAsia" w:ascii="宋体" w:hAnsi="宋体" w:eastAsia="宋体" w:cs="Times New Roman"/>
          <w:snapToGrid/>
          <w:kern w:val="2"/>
          <w:szCs w:val="21"/>
          <w:lang w:eastAsia="zh-CN"/>
        </w:rPr>
        <w:t>全额付款：</w:t>
      </w:r>
      <w:r>
        <w:rPr>
          <w:rFonts w:hint="eastAsia" w:ascii="宋体" w:hAnsi="宋体" w:eastAsia="宋体" w:cs="Times New Roman"/>
          <w:snapToGrid/>
          <w:kern w:val="2"/>
          <w:szCs w:val="21"/>
          <w:u w:val="single"/>
          <w:lang w:eastAsia="zh-CN"/>
        </w:rPr>
        <w:t xml:space="preserve">     （应明确一次性支付合同款项的条件）                    </w:t>
      </w:r>
    </w:p>
    <w:p w14:paraId="56D5662F">
      <w:pPr>
        <w:widowControl w:val="0"/>
        <w:kinsoku/>
        <w:autoSpaceDE/>
        <w:autoSpaceDN/>
        <w:adjustRightInd/>
        <w:snapToGrid w:val="0"/>
        <w:spacing w:beforeLines="0" w:line="400" w:lineRule="exact"/>
        <w:ind w:firstLine="630" w:firstLineChars="300"/>
        <w:jc w:val="both"/>
        <w:textAlignment w:val="auto"/>
        <w:rPr>
          <w:rFonts w:hint="eastAsia"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sym w:font="Wingdings" w:char="00FE"/>
      </w:r>
      <w:r>
        <w:rPr>
          <w:rFonts w:hint="eastAsia" w:ascii="宋体" w:hAnsi="宋体" w:eastAsia="宋体" w:cs="Times New Roman"/>
          <w:snapToGrid/>
          <w:kern w:val="2"/>
          <w:szCs w:val="21"/>
          <w:lang w:eastAsia="zh-CN"/>
        </w:rPr>
        <w:t>分期付款：</w:t>
      </w:r>
    </w:p>
    <w:p w14:paraId="277BB81F">
      <w:pPr>
        <w:widowControl w:val="0"/>
        <w:kinsoku/>
        <w:autoSpaceDE/>
        <w:autoSpaceDN/>
        <w:adjustRightInd/>
        <w:snapToGrid w:val="0"/>
        <w:spacing w:beforeLines="0" w:line="400" w:lineRule="exact"/>
        <w:ind w:firstLine="630" w:firstLineChars="300"/>
        <w:jc w:val="both"/>
        <w:textAlignment w:val="auto"/>
        <w:rPr>
          <w:rFonts w:hint="eastAsia" w:ascii="宋体" w:hAnsi="宋体" w:eastAsia="宋体" w:cs="Times New Roman"/>
          <w:snapToGrid/>
          <w:kern w:val="2"/>
          <w:szCs w:val="21"/>
          <w:u w:val="none"/>
          <w:lang w:eastAsia="zh-CN"/>
        </w:rPr>
      </w:pPr>
      <w:r>
        <w:rPr>
          <w:rFonts w:hint="eastAsia" w:ascii="宋体" w:hAnsi="宋体" w:eastAsia="宋体" w:cs="Times New Roman"/>
          <w:snapToGrid/>
          <w:kern w:val="2"/>
          <w:szCs w:val="21"/>
          <w:u w:val="none"/>
          <w:lang w:eastAsia="zh-CN"/>
        </w:rPr>
        <w:t>甲方验收合格并实际交付使用后</w:t>
      </w:r>
      <w:r>
        <w:rPr>
          <w:rFonts w:hint="eastAsia" w:ascii="宋体" w:hAnsi="宋体" w:eastAsia="宋体" w:cs="Times New Roman"/>
          <w:snapToGrid/>
          <w:kern w:val="2"/>
          <w:szCs w:val="21"/>
          <w:u w:val="none"/>
          <w:lang w:val="en-US" w:eastAsia="zh-CN"/>
        </w:rPr>
        <w:t>15</w:t>
      </w:r>
      <w:r>
        <w:rPr>
          <w:rFonts w:hint="eastAsia" w:ascii="宋体" w:hAnsi="宋体" w:eastAsia="宋体" w:cs="Times New Roman"/>
          <w:snapToGrid/>
          <w:kern w:val="2"/>
          <w:szCs w:val="21"/>
          <w:u w:val="none"/>
          <w:lang w:eastAsia="zh-CN"/>
        </w:rPr>
        <w:t>个工作日内，甲方凭乙方开具的100%合同总价的增值税普通发票（一般纳税人）及双方签署的《采购合同》向乙方支付至合同总价的</w:t>
      </w:r>
      <w:r>
        <w:rPr>
          <w:rFonts w:hint="eastAsia" w:ascii="宋体" w:hAnsi="宋体" w:eastAsia="宋体" w:cs="Times New Roman"/>
          <w:snapToGrid/>
          <w:kern w:val="2"/>
          <w:szCs w:val="21"/>
          <w:u w:val="single"/>
          <w:lang w:val="en-US" w:eastAsia="zh-CN"/>
        </w:rPr>
        <w:t>95</w:t>
      </w:r>
      <w:r>
        <w:rPr>
          <w:rFonts w:hint="eastAsia" w:ascii="宋体" w:hAnsi="宋体" w:eastAsia="宋体" w:cs="Times New Roman"/>
          <w:snapToGrid/>
          <w:kern w:val="2"/>
          <w:szCs w:val="21"/>
          <w:u w:val="single"/>
          <w:lang w:eastAsia="zh-CN"/>
        </w:rPr>
        <w:t>%</w:t>
      </w:r>
      <w:r>
        <w:rPr>
          <w:rFonts w:hint="eastAsia" w:ascii="宋体" w:hAnsi="宋体" w:eastAsia="宋体" w:cs="Times New Roman"/>
          <w:snapToGrid/>
          <w:kern w:val="2"/>
          <w:szCs w:val="21"/>
          <w:u w:val="none"/>
          <w:lang w:eastAsia="zh-CN"/>
        </w:rPr>
        <w:t>，即：人民币¥</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u w:val="none"/>
          <w:lang w:eastAsia="zh-CN"/>
        </w:rPr>
        <w:t>元（大写：</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u w:val="none"/>
          <w:lang w:eastAsia="zh-CN"/>
        </w:rPr>
        <w:t xml:space="preserve"> ）。</w:t>
      </w:r>
    </w:p>
    <w:p w14:paraId="34F5B40A">
      <w:pPr>
        <w:widowControl w:val="0"/>
        <w:kinsoku/>
        <w:autoSpaceDE/>
        <w:autoSpaceDN/>
        <w:adjustRightInd/>
        <w:snapToGrid w:val="0"/>
        <w:spacing w:beforeLines="0" w:line="400" w:lineRule="exact"/>
        <w:ind w:firstLine="630" w:firstLineChars="300"/>
        <w:jc w:val="both"/>
        <w:textAlignment w:val="auto"/>
        <w:rPr>
          <w:rFonts w:ascii="Times New Roman" w:hAnsi="Times New Roman" w:eastAsia="宋体" w:cs="Times New Roman"/>
          <w:snapToGrid/>
          <w:kern w:val="2"/>
          <w:szCs w:val="24"/>
          <w:u w:val="none"/>
          <w:lang w:eastAsia="zh-CN"/>
        </w:rPr>
      </w:pPr>
      <w:r>
        <w:rPr>
          <w:rFonts w:hint="eastAsia" w:ascii="宋体" w:hAnsi="宋体" w:eastAsia="宋体" w:cs="Times New Roman"/>
          <w:snapToGrid/>
          <w:kern w:val="2"/>
          <w:szCs w:val="21"/>
          <w:u w:val="none"/>
          <w:lang w:eastAsia="zh-CN"/>
        </w:rPr>
        <w:t>预留合同总价的</w:t>
      </w:r>
      <w:r>
        <w:rPr>
          <w:rFonts w:hint="eastAsia" w:ascii="宋体" w:hAnsi="宋体" w:eastAsia="宋体" w:cs="Times New Roman"/>
          <w:snapToGrid/>
          <w:kern w:val="2"/>
          <w:szCs w:val="21"/>
          <w:u w:val="single"/>
          <w:lang w:val="en-US" w:eastAsia="zh-CN"/>
        </w:rPr>
        <w:t>5</w:t>
      </w:r>
      <w:r>
        <w:rPr>
          <w:rFonts w:hint="eastAsia" w:ascii="宋体" w:hAnsi="宋体" w:eastAsia="宋体" w:cs="Times New Roman"/>
          <w:snapToGrid/>
          <w:kern w:val="2"/>
          <w:szCs w:val="21"/>
          <w:u w:val="single"/>
          <w:lang w:eastAsia="zh-CN"/>
        </w:rPr>
        <w:t>%</w:t>
      </w:r>
      <w:r>
        <w:rPr>
          <w:rFonts w:hint="eastAsia" w:ascii="宋体" w:hAnsi="宋体" w:eastAsia="宋体" w:cs="Times New Roman"/>
          <w:snapToGrid/>
          <w:kern w:val="2"/>
          <w:szCs w:val="21"/>
          <w:u w:val="none"/>
          <w:lang w:eastAsia="zh-CN"/>
        </w:rPr>
        <w:t>作为质量和售后服务保证金，待设备验收合格并安全运行</w:t>
      </w:r>
      <w:r>
        <w:rPr>
          <w:rFonts w:hint="eastAsia" w:ascii="宋体" w:hAnsi="宋体" w:eastAsia="宋体" w:cs="Times New Roman"/>
          <w:snapToGrid/>
          <w:kern w:val="2"/>
          <w:szCs w:val="21"/>
          <w:u w:val="none"/>
          <w:lang w:val="en-US" w:eastAsia="zh-CN"/>
        </w:rPr>
        <w:t>2</w:t>
      </w:r>
      <w:r>
        <w:rPr>
          <w:rFonts w:hint="eastAsia" w:ascii="宋体" w:hAnsi="宋体" w:eastAsia="宋体" w:cs="Times New Roman"/>
          <w:snapToGrid/>
          <w:kern w:val="2"/>
          <w:szCs w:val="21"/>
          <w:u w:val="none"/>
          <w:lang w:eastAsia="zh-CN"/>
        </w:rPr>
        <w:t>年（自验收合格之日起计算）后，如无质量及售后服务等其他违约事项，甲方应在本条前述期满后</w:t>
      </w:r>
      <w:r>
        <w:rPr>
          <w:rFonts w:hint="eastAsia" w:ascii="宋体" w:hAnsi="宋体" w:eastAsia="宋体" w:cs="Times New Roman"/>
          <w:snapToGrid/>
          <w:kern w:val="2"/>
          <w:szCs w:val="21"/>
          <w:u w:val="none"/>
          <w:lang w:val="en-US" w:eastAsia="zh-CN"/>
        </w:rPr>
        <w:t>15</w:t>
      </w:r>
      <w:r>
        <w:rPr>
          <w:rFonts w:hint="eastAsia" w:ascii="宋体" w:hAnsi="宋体" w:eastAsia="宋体" w:cs="Times New Roman"/>
          <w:snapToGrid/>
          <w:kern w:val="2"/>
          <w:szCs w:val="21"/>
          <w:u w:val="none"/>
          <w:lang w:eastAsia="zh-CN"/>
        </w:rPr>
        <w:t>个工作日内向乙方支付剩余合同金额。</w:t>
      </w:r>
    </w:p>
    <w:p w14:paraId="18B99AFD">
      <w:pPr>
        <w:widowControl w:val="0"/>
        <w:kinsoku/>
        <w:autoSpaceDE/>
        <w:autoSpaceDN/>
        <w:adjustRightInd w:val="0"/>
        <w:snapToGrid w:val="0"/>
        <w:spacing w:before="0" w:beforeLines="0" w:line="400" w:lineRule="exact"/>
        <w:ind w:firstLine="630" w:firstLineChars="300"/>
        <w:jc w:val="both"/>
        <w:textAlignment w:val="auto"/>
        <w:rPr>
          <w:rFonts w:ascii="宋体" w:hAnsi="宋体" w:eastAsia="宋体" w:cs="Times New Roman"/>
          <w:snapToGrid/>
          <w:kern w:val="2"/>
          <w:szCs w:val="21"/>
          <w:u w:val="single"/>
          <w:lang w:eastAsia="zh-CN"/>
        </w:rPr>
      </w:pPr>
      <w:r>
        <w:rPr>
          <w:rFonts w:hint="eastAsia" w:ascii="宋体" w:hAnsi="宋体" w:eastAsia="宋体" w:cs="Times New Roman"/>
          <w:snapToGrid/>
          <w:kern w:val="2"/>
          <w:szCs w:val="21"/>
          <w:lang w:eastAsia="zh-CN"/>
        </w:rPr>
        <w:sym w:font="Wingdings" w:char="00A8"/>
      </w:r>
      <w:r>
        <w:rPr>
          <w:rFonts w:hint="eastAsia" w:ascii="宋体" w:hAnsi="宋体" w:eastAsia="宋体" w:cs="Times New Roman"/>
          <w:snapToGrid/>
          <w:kern w:val="2"/>
          <w:szCs w:val="21"/>
          <w:lang w:eastAsia="zh-CN"/>
        </w:rPr>
        <w:t>成本补偿：</w:t>
      </w:r>
      <w:r>
        <w:rPr>
          <w:rFonts w:hint="eastAsia" w:ascii="宋体" w:hAnsi="宋体" w:eastAsia="宋体" w:cs="Times New Roman"/>
          <w:snapToGrid/>
          <w:kern w:val="2"/>
          <w:szCs w:val="21"/>
          <w:u w:val="single"/>
          <w:lang w:eastAsia="zh-CN"/>
        </w:rPr>
        <w:t xml:space="preserve">      （应明确按照成本补偿方式的支付方式和支付条件）   </w:t>
      </w:r>
    </w:p>
    <w:p w14:paraId="7CF65EF8">
      <w:pPr>
        <w:widowControl w:val="0"/>
        <w:kinsoku/>
        <w:autoSpaceDE/>
        <w:autoSpaceDN/>
        <w:adjustRightInd w:val="0"/>
        <w:snapToGrid w:val="0"/>
        <w:spacing w:before="0" w:beforeLines="0" w:line="400" w:lineRule="exact"/>
        <w:ind w:firstLine="630" w:firstLineChars="3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sym w:font="Wingdings" w:char="00A8"/>
      </w:r>
      <w:r>
        <w:rPr>
          <w:rFonts w:hint="eastAsia" w:ascii="宋体" w:hAnsi="宋体" w:eastAsia="宋体" w:cs="Times New Roman"/>
          <w:snapToGrid/>
          <w:kern w:val="2"/>
          <w:szCs w:val="21"/>
          <w:lang w:eastAsia="zh-CN"/>
        </w:rPr>
        <w:t>绩效激励：</w:t>
      </w:r>
      <w:r>
        <w:rPr>
          <w:rFonts w:hint="eastAsia" w:ascii="宋体" w:hAnsi="宋体" w:eastAsia="宋体" w:cs="Times New Roman"/>
          <w:snapToGrid/>
          <w:kern w:val="2"/>
          <w:szCs w:val="21"/>
          <w:u w:val="single"/>
          <w:lang w:eastAsia="zh-CN"/>
        </w:rPr>
        <w:t xml:space="preserve">      （应明确按照绩效激励方式的支付方式和支付条件）   </w:t>
      </w:r>
    </w:p>
    <w:p w14:paraId="0B5BEA82">
      <w:pPr>
        <w:widowControl w:val="0"/>
        <w:numPr>
          <w:ilvl w:val="0"/>
          <w:numId w:val="1"/>
        </w:numPr>
        <w:kinsoku/>
        <w:autoSpaceDE/>
        <w:autoSpaceDN/>
        <w:adjustRightInd w:val="0"/>
        <w:snapToGrid w:val="0"/>
        <w:spacing w:before="0" w:beforeLines="0" w:line="400" w:lineRule="exact"/>
        <w:ind w:firstLine="422" w:firstLineChars="200"/>
        <w:jc w:val="both"/>
        <w:textAlignment w:val="auto"/>
        <w:rPr>
          <w:rFonts w:ascii="宋体" w:hAnsi="宋体" w:eastAsia="宋体" w:cs="Times New Roman"/>
          <w:b/>
          <w:bCs w:val="0"/>
          <w:snapToGrid/>
          <w:kern w:val="2"/>
          <w:szCs w:val="21"/>
          <w:u w:val="single"/>
          <w:lang w:eastAsia="zh-CN"/>
        </w:rPr>
      </w:pPr>
      <w:r>
        <w:rPr>
          <w:rFonts w:hint="eastAsia" w:ascii="宋体" w:hAnsi="宋体" w:eastAsia="宋体" w:cs="Times New Roman"/>
          <w:b/>
          <w:bCs w:val="0"/>
          <w:snapToGrid/>
          <w:kern w:val="2"/>
          <w:szCs w:val="21"/>
          <w:lang w:eastAsia="zh-CN"/>
        </w:rPr>
        <w:t>合同履行</w:t>
      </w:r>
    </w:p>
    <w:p w14:paraId="58C3D6D8">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宋体"/>
          <w:snapToGrid/>
          <w:kern w:val="2"/>
          <w:szCs w:val="21"/>
          <w:lang w:eastAsia="zh-CN"/>
        </w:rPr>
      </w:pPr>
      <w:r>
        <w:rPr>
          <w:rFonts w:hint="eastAsia" w:ascii="宋体" w:hAnsi="宋体" w:eastAsia="宋体" w:cs="宋体"/>
          <w:snapToGrid/>
          <w:kern w:val="2"/>
          <w:szCs w:val="21"/>
          <w:lang w:eastAsia="zh-CN"/>
        </w:rPr>
        <w:t>（1）起始日期：</w:t>
      </w:r>
      <w:r>
        <w:rPr>
          <w:rFonts w:hint="eastAsia" w:ascii="宋体" w:hAnsi="宋体" w:eastAsia="宋体" w:cs="宋体"/>
          <w:snapToGrid/>
          <w:kern w:val="2"/>
          <w:szCs w:val="21"/>
          <w:u w:val="single"/>
          <w:lang w:eastAsia="zh-CN"/>
        </w:rPr>
        <w:t xml:space="preserve">    </w:t>
      </w:r>
      <w:r>
        <w:rPr>
          <w:rFonts w:hint="eastAsia" w:ascii="宋体" w:hAnsi="宋体" w:eastAsia="宋体" w:cs="宋体"/>
          <w:snapToGrid/>
          <w:kern w:val="2"/>
          <w:szCs w:val="21"/>
          <w:lang w:eastAsia="zh-CN"/>
        </w:rPr>
        <w:t>年</w:t>
      </w:r>
      <w:r>
        <w:rPr>
          <w:rFonts w:hint="eastAsia" w:ascii="宋体" w:hAnsi="宋体" w:eastAsia="宋体" w:cs="宋体"/>
          <w:snapToGrid/>
          <w:kern w:val="2"/>
          <w:szCs w:val="21"/>
          <w:u w:val="single"/>
          <w:lang w:eastAsia="zh-CN"/>
        </w:rPr>
        <w:t xml:space="preserve">   </w:t>
      </w:r>
      <w:r>
        <w:rPr>
          <w:rFonts w:hint="eastAsia" w:ascii="宋体" w:hAnsi="宋体" w:eastAsia="宋体" w:cs="宋体"/>
          <w:snapToGrid/>
          <w:kern w:val="2"/>
          <w:szCs w:val="21"/>
          <w:lang w:eastAsia="zh-CN"/>
        </w:rPr>
        <w:t>月</w:t>
      </w:r>
      <w:r>
        <w:rPr>
          <w:rFonts w:hint="eastAsia" w:ascii="宋体" w:hAnsi="宋体" w:eastAsia="宋体" w:cs="宋体"/>
          <w:snapToGrid/>
          <w:kern w:val="2"/>
          <w:szCs w:val="21"/>
          <w:u w:val="single"/>
          <w:lang w:eastAsia="zh-CN"/>
        </w:rPr>
        <w:t xml:space="preserve">   </w:t>
      </w:r>
      <w:r>
        <w:rPr>
          <w:rFonts w:hint="eastAsia" w:ascii="宋体" w:hAnsi="宋体" w:eastAsia="宋体" w:cs="宋体"/>
          <w:snapToGrid/>
          <w:kern w:val="2"/>
          <w:szCs w:val="21"/>
          <w:lang w:eastAsia="zh-CN"/>
        </w:rPr>
        <w:t>日，完成日期：</w:t>
      </w:r>
      <w:r>
        <w:rPr>
          <w:rFonts w:hint="eastAsia" w:ascii="宋体" w:hAnsi="宋体" w:eastAsia="宋体" w:cs="宋体"/>
          <w:snapToGrid/>
          <w:kern w:val="2"/>
          <w:szCs w:val="21"/>
          <w:u w:val="single"/>
          <w:lang w:eastAsia="zh-CN"/>
        </w:rPr>
        <w:t xml:space="preserve">    </w:t>
      </w:r>
      <w:r>
        <w:rPr>
          <w:rFonts w:hint="eastAsia" w:ascii="宋体" w:hAnsi="宋体" w:eastAsia="宋体" w:cs="宋体"/>
          <w:snapToGrid/>
          <w:kern w:val="2"/>
          <w:szCs w:val="21"/>
          <w:lang w:eastAsia="zh-CN"/>
        </w:rPr>
        <w:t>年</w:t>
      </w:r>
      <w:r>
        <w:rPr>
          <w:rFonts w:hint="eastAsia" w:ascii="宋体" w:hAnsi="宋体" w:eastAsia="宋体" w:cs="宋体"/>
          <w:snapToGrid/>
          <w:kern w:val="2"/>
          <w:szCs w:val="21"/>
          <w:u w:val="single"/>
          <w:lang w:eastAsia="zh-CN"/>
        </w:rPr>
        <w:t xml:space="preserve">   </w:t>
      </w:r>
      <w:r>
        <w:rPr>
          <w:rFonts w:hint="eastAsia" w:ascii="宋体" w:hAnsi="宋体" w:eastAsia="宋体" w:cs="宋体"/>
          <w:snapToGrid/>
          <w:kern w:val="2"/>
          <w:szCs w:val="21"/>
          <w:lang w:eastAsia="zh-CN"/>
        </w:rPr>
        <w:t>月</w:t>
      </w:r>
      <w:r>
        <w:rPr>
          <w:rFonts w:hint="eastAsia" w:ascii="宋体" w:hAnsi="宋体" w:eastAsia="宋体" w:cs="宋体"/>
          <w:snapToGrid/>
          <w:kern w:val="2"/>
          <w:szCs w:val="21"/>
          <w:u w:val="single"/>
          <w:lang w:eastAsia="zh-CN"/>
        </w:rPr>
        <w:t xml:space="preserve">   </w:t>
      </w:r>
      <w:r>
        <w:rPr>
          <w:rFonts w:hint="eastAsia" w:ascii="宋体" w:hAnsi="宋体" w:eastAsia="宋体" w:cs="宋体"/>
          <w:snapToGrid/>
          <w:kern w:val="2"/>
          <w:szCs w:val="21"/>
          <w:lang w:eastAsia="zh-CN"/>
        </w:rPr>
        <w:t>日。</w:t>
      </w:r>
    </w:p>
    <w:p w14:paraId="64560D31">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宋体"/>
          <w:snapToGrid/>
          <w:kern w:val="2"/>
          <w:szCs w:val="21"/>
          <w:u w:val="single"/>
          <w:lang w:eastAsia="zh-CN"/>
        </w:rPr>
      </w:pPr>
      <w:r>
        <w:rPr>
          <w:rFonts w:hint="eastAsia" w:ascii="宋体" w:hAnsi="宋体" w:eastAsia="宋体" w:cs="宋体"/>
          <w:snapToGrid/>
          <w:kern w:val="2"/>
          <w:szCs w:val="21"/>
          <w:lang w:eastAsia="zh-CN"/>
        </w:rPr>
        <w:t>（2）履约地点</w:t>
      </w:r>
      <w:r>
        <w:rPr>
          <w:rFonts w:hint="eastAsia" w:ascii="宋体" w:hAnsi="宋体" w:eastAsia="宋体" w:cs="宋体"/>
          <w:b w:val="0"/>
          <w:bCs/>
          <w:snapToGrid/>
          <w:kern w:val="2"/>
          <w:szCs w:val="21"/>
          <w:lang w:eastAsia="zh-CN"/>
        </w:rPr>
        <w:t>：</w:t>
      </w:r>
      <w:r>
        <w:rPr>
          <w:rFonts w:hint="eastAsia" w:ascii="宋体" w:hAnsi="宋体" w:eastAsia="宋体" w:cs="宋体"/>
          <w:snapToGrid/>
          <w:kern w:val="2"/>
          <w:szCs w:val="21"/>
          <w:u w:val="single"/>
          <w:lang w:eastAsia="zh-CN"/>
        </w:rPr>
        <w:t xml:space="preserve">                             </w:t>
      </w:r>
    </w:p>
    <w:p w14:paraId="17501B69">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宋体"/>
          <w:snapToGrid/>
          <w:kern w:val="2"/>
          <w:sz w:val="21"/>
          <w:szCs w:val="21"/>
          <w:lang w:eastAsia="zh-CN"/>
        </w:rPr>
      </w:pPr>
      <w:r>
        <w:rPr>
          <w:rFonts w:hint="eastAsia" w:ascii="宋体" w:hAnsi="宋体" w:eastAsia="宋体" w:cs="宋体"/>
          <w:bCs/>
          <w:snapToGrid/>
          <w:kern w:val="2"/>
          <w:szCs w:val="21"/>
          <w:lang w:eastAsia="zh-CN"/>
        </w:rPr>
        <w:t>（3）履约担保：</w:t>
      </w:r>
      <w:r>
        <w:rPr>
          <w:rFonts w:hint="eastAsia" w:ascii="宋体" w:hAnsi="宋体" w:eastAsia="宋体" w:cs="宋体"/>
          <w:snapToGrid/>
          <w:kern w:val="2"/>
          <w:sz w:val="21"/>
          <w:szCs w:val="24"/>
          <w:lang w:val="en-US" w:eastAsia="zh-CN"/>
        </w:rPr>
        <w:t>是否收取履约保证金：</w:t>
      </w:r>
      <w:r>
        <w:rPr>
          <w:rFonts w:hint="eastAsia" w:ascii="宋体" w:hAnsi="宋体" w:eastAsia="宋体" w:cs="宋体"/>
          <w:snapToGrid/>
          <w:kern w:val="2"/>
          <w:sz w:val="21"/>
          <w:szCs w:val="21"/>
          <w:lang w:eastAsia="zh-CN"/>
        </w:rPr>
        <w:sym w:font="Wingdings" w:char="00A8"/>
      </w:r>
      <w:r>
        <w:rPr>
          <w:rFonts w:hint="eastAsia" w:ascii="宋体" w:hAnsi="宋体" w:eastAsia="宋体" w:cs="宋体"/>
          <w:snapToGrid/>
          <w:kern w:val="2"/>
          <w:sz w:val="21"/>
          <w:szCs w:val="21"/>
          <w:lang w:eastAsia="zh-CN"/>
        </w:rPr>
        <w:t>是</w:t>
      </w:r>
      <w:r>
        <w:rPr>
          <w:rFonts w:hint="eastAsia" w:ascii="宋体" w:hAnsi="宋体" w:eastAsia="宋体" w:cs="宋体"/>
          <w:snapToGrid/>
          <w:kern w:val="2"/>
          <w:sz w:val="21"/>
          <w:szCs w:val="21"/>
          <w:lang w:val="en-US" w:eastAsia="zh-CN"/>
        </w:rPr>
        <w:t xml:space="preserve">    </w:t>
      </w:r>
      <w:r>
        <w:rPr>
          <w:rFonts w:hint="eastAsia" w:ascii="宋体" w:hAnsi="宋体" w:eastAsia="宋体" w:cs="宋体"/>
          <w:snapToGrid/>
          <w:kern w:val="2"/>
          <w:sz w:val="21"/>
          <w:szCs w:val="21"/>
          <w:lang w:eastAsia="zh-CN"/>
        </w:rPr>
        <w:sym w:font="Wingdings" w:char="00FE"/>
      </w:r>
      <w:r>
        <w:rPr>
          <w:rFonts w:hint="eastAsia" w:ascii="宋体" w:hAnsi="宋体" w:eastAsia="宋体" w:cs="宋体"/>
          <w:snapToGrid/>
          <w:kern w:val="2"/>
          <w:sz w:val="21"/>
          <w:szCs w:val="21"/>
          <w:lang w:eastAsia="zh-CN"/>
        </w:rPr>
        <w:t>否</w:t>
      </w:r>
    </w:p>
    <w:p w14:paraId="1F8F69E7">
      <w:pPr>
        <w:autoSpaceDE w:val="0"/>
        <w:autoSpaceDN w:val="0"/>
        <w:adjustRightInd w:val="0"/>
        <w:spacing w:beforeLines="0" w:line="400" w:lineRule="exact"/>
        <w:ind w:firstLine="440" w:firstLineChars="200"/>
        <w:rPr>
          <w:rFonts w:hint="eastAsia" w:ascii="宋体" w:hAnsi="宋体" w:eastAsia="宋体" w:cs="宋体"/>
          <w:sz w:val="21"/>
          <w:szCs w:val="21"/>
          <w:lang w:val="en-US" w:eastAsia="zh-CN" w:bidi="ar-SA"/>
        </w:rPr>
      </w:pPr>
      <w:r>
        <w:rPr>
          <w:rFonts w:hint="eastAsia" w:ascii="宋体" w:hAnsi="宋体" w:eastAsia="华文楷体" w:cs="宋体"/>
          <w:bCs/>
          <w:sz w:val="22"/>
          <w:szCs w:val="21"/>
          <w:u w:val="none"/>
          <w:lang w:val="en-US" w:eastAsia="zh-CN" w:bidi="ar-SA"/>
        </w:rPr>
        <w:t xml:space="preserve">  </w:t>
      </w:r>
      <w:r>
        <w:rPr>
          <w:rFonts w:hint="eastAsia" w:ascii="宋体" w:hAnsi="宋体" w:eastAsia="宋体" w:cs="宋体"/>
          <w:sz w:val="21"/>
          <w:szCs w:val="21"/>
          <w:lang w:val="en-US" w:eastAsia="zh-CN" w:bidi="ar-SA"/>
        </w:rPr>
        <w:t xml:space="preserve">  收取履约保证金形式：</w:t>
      </w:r>
      <w:r>
        <w:rPr>
          <w:rFonts w:hint="eastAsia" w:ascii="宋体" w:hAnsi="宋体" w:eastAsia="宋体" w:cs="宋体"/>
          <w:bCs/>
          <w:sz w:val="21"/>
          <w:szCs w:val="21"/>
          <w:u w:val="single"/>
          <w:lang w:val="en-US" w:eastAsia="zh-CN" w:bidi="ar-SA"/>
        </w:rPr>
        <w:t xml:space="preserve">                            </w:t>
      </w:r>
    </w:p>
    <w:p w14:paraId="684D26C7">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 xml:space="preserve">    收取履约保证金金额：</w:t>
      </w:r>
      <w:r>
        <w:rPr>
          <w:rFonts w:hint="eastAsia" w:ascii="宋体" w:hAnsi="宋体" w:eastAsia="宋体" w:cs="宋体"/>
          <w:bCs/>
          <w:sz w:val="21"/>
          <w:szCs w:val="21"/>
          <w:u w:val="single"/>
          <w:lang w:val="en-US" w:eastAsia="zh-CN" w:bidi="ar-SA"/>
        </w:rPr>
        <w:t xml:space="preserve">                            </w:t>
      </w:r>
    </w:p>
    <w:p w14:paraId="0556A1F2">
      <w:pPr>
        <w:widowControl w:val="0"/>
        <w:kinsoku/>
        <w:autoSpaceDE/>
        <w:autoSpaceDN/>
        <w:adjustRightInd/>
        <w:snapToGrid w:val="0"/>
        <w:spacing w:beforeLines="0" w:line="400" w:lineRule="exact"/>
        <w:ind w:firstLine="420" w:firstLineChars="200"/>
        <w:jc w:val="both"/>
        <w:textAlignment w:val="auto"/>
        <w:rPr>
          <w:rFonts w:hint="eastAsia" w:ascii="宋体" w:hAnsi="宋体" w:eastAsia="宋体" w:cs="宋体"/>
          <w:snapToGrid/>
          <w:kern w:val="2"/>
          <w:sz w:val="21"/>
          <w:szCs w:val="24"/>
          <w:lang w:val="en-US" w:eastAsia="zh-CN"/>
        </w:rPr>
      </w:pPr>
      <w:r>
        <w:rPr>
          <w:rFonts w:hint="eastAsia" w:ascii="宋体" w:hAnsi="宋体" w:eastAsia="宋体" w:cs="宋体"/>
          <w:bCs/>
          <w:snapToGrid/>
          <w:kern w:val="2"/>
          <w:szCs w:val="21"/>
          <w:u w:val="none"/>
          <w:lang w:val="en-US" w:eastAsia="zh-CN"/>
        </w:rPr>
        <w:t xml:space="preserve">    履约担保期限</w:t>
      </w:r>
      <w:r>
        <w:rPr>
          <w:rFonts w:hint="eastAsia" w:ascii="宋体" w:hAnsi="宋体" w:eastAsia="宋体" w:cs="宋体"/>
          <w:bCs/>
          <w:snapToGrid/>
          <w:kern w:val="2"/>
          <w:szCs w:val="21"/>
          <w:u w:val="none"/>
          <w:lang w:eastAsia="zh-CN"/>
        </w:rPr>
        <w:t>：</w:t>
      </w:r>
      <w:r>
        <w:rPr>
          <w:rFonts w:hint="eastAsia" w:ascii="宋体" w:hAnsi="宋体" w:eastAsia="宋体" w:cs="宋体"/>
          <w:bCs/>
          <w:snapToGrid/>
          <w:kern w:val="2"/>
          <w:sz w:val="21"/>
          <w:szCs w:val="21"/>
          <w:u w:val="single"/>
          <w:lang w:eastAsia="zh-CN"/>
        </w:rPr>
        <w:t xml:space="preserve">      </w:t>
      </w:r>
      <w:r>
        <w:rPr>
          <w:rFonts w:hint="eastAsia" w:ascii="宋体" w:hAnsi="宋体" w:eastAsia="宋体" w:cs="宋体"/>
          <w:bCs/>
          <w:snapToGrid/>
          <w:kern w:val="2"/>
          <w:sz w:val="21"/>
          <w:szCs w:val="21"/>
          <w:u w:val="single"/>
          <w:lang w:val="en-US" w:eastAsia="zh-CN"/>
        </w:rPr>
        <w:t xml:space="preserve">                     </w:t>
      </w:r>
      <w:r>
        <w:rPr>
          <w:rFonts w:hint="eastAsia" w:ascii="宋体" w:hAnsi="宋体" w:eastAsia="宋体" w:cs="宋体"/>
          <w:bCs/>
          <w:snapToGrid/>
          <w:kern w:val="2"/>
          <w:sz w:val="21"/>
          <w:szCs w:val="21"/>
          <w:u w:val="single"/>
          <w:lang w:eastAsia="zh-CN"/>
        </w:rPr>
        <w:t xml:space="preserve">       </w:t>
      </w:r>
    </w:p>
    <w:p w14:paraId="5C15BBD1">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宋体"/>
          <w:bCs/>
          <w:snapToGrid/>
          <w:kern w:val="2"/>
          <w:szCs w:val="21"/>
          <w:lang w:eastAsia="zh-CN"/>
        </w:rPr>
      </w:pPr>
      <w:r>
        <w:rPr>
          <w:rFonts w:hint="eastAsia" w:ascii="宋体" w:hAnsi="宋体" w:eastAsia="宋体" w:cs="宋体"/>
          <w:bCs/>
          <w:snapToGrid/>
          <w:kern w:val="2"/>
          <w:szCs w:val="21"/>
          <w:lang w:eastAsia="zh-CN"/>
        </w:rPr>
        <w:t>（4）分期履行要求：</w:t>
      </w:r>
      <w:r>
        <w:rPr>
          <w:rFonts w:hint="eastAsia" w:ascii="宋体" w:hAnsi="宋体" w:eastAsia="宋体" w:cs="宋体"/>
          <w:bCs/>
          <w:snapToGrid/>
          <w:kern w:val="2"/>
          <w:szCs w:val="21"/>
          <w:u w:val="single"/>
          <w:lang w:eastAsia="zh-CN"/>
        </w:rPr>
        <w:t xml:space="preserve">                                                   </w:t>
      </w:r>
      <w:r>
        <w:rPr>
          <w:rFonts w:hint="eastAsia" w:ascii="宋体" w:hAnsi="宋体" w:eastAsia="宋体" w:cs="宋体"/>
          <w:bCs/>
          <w:snapToGrid/>
          <w:kern w:val="2"/>
          <w:szCs w:val="21"/>
          <w:u w:val="single"/>
          <w:lang w:val="en-US" w:eastAsia="zh-CN"/>
        </w:rPr>
        <w:t xml:space="preserve">    </w:t>
      </w:r>
      <w:r>
        <w:rPr>
          <w:rFonts w:hint="eastAsia" w:ascii="宋体" w:hAnsi="宋体" w:eastAsia="宋体" w:cs="宋体"/>
          <w:bCs/>
          <w:snapToGrid/>
          <w:kern w:val="2"/>
          <w:szCs w:val="21"/>
          <w:u w:val="single"/>
          <w:lang w:eastAsia="zh-CN"/>
        </w:rPr>
        <w:t xml:space="preserve"> </w:t>
      </w:r>
    </w:p>
    <w:p w14:paraId="37EC16CD">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宋体"/>
          <w:snapToGrid/>
          <w:kern w:val="2"/>
          <w:szCs w:val="21"/>
          <w:u w:val="single"/>
          <w:lang w:eastAsia="zh-CN"/>
        </w:rPr>
      </w:pPr>
      <w:r>
        <w:rPr>
          <w:rFonts w:hint="eastAsia" w:ascii="宋体" w:hAnsi="宋体" w:eastAsia="宋体" w:cs="宋体"/>
          <w:bCs/>
          <w:snapToGrid/>
          <w:kern w:val="2"/>
          <w:szCs w:val="21"/>
          <w:lang w:eastAsia="zh-CN"/>
        </w:rPr>
        <w:t>（5）风险处置措施和替代方案：</w:t>
      </w:r>
      <w:r>
        <w:rPr>
          <w:rFonts w:hint="eastAsia" w:ascii="宋体" w:hAnsi="宋体" w:eastAsia="宋体" w:cs="宋体"/>
          <w:snapToGrid/>
          <w:color w:val="0000FF"/>
          <w:kern w:val="2"/>
          <w:szCs w:val="21"/>
          <w:u w:val="single"/>
          <w:lang w:eastAsia="zh-CN"/>
        </w:rPr>
        <w:t xml:space="preserve"> </w:t>
      </w:r>
      <w:r>
        <w:rPr>
          <w:rFonts w:hint="eastAsia" w:ascii="宋体" w:hAnsi="宋体" w:eastAsia="宋体" w:cs="宋体"/>
          <w:snapToGrid/>
          <w:color w:val="000000"/>
          <w:kern w:val="2"/>
          <w:szCs w:val="21"/>
          <w:u w:val="single"/>
          <w:lang w:eastAsia="zh-CN"/>
        </w:rPr>
        <w:t xml:space="preserve">              </w:t>
      </w:r>
      <w:r>
        <w:rPr>
          <w:rFonts w:hint="eastAsia" w:ascii="宋体" w:hAnsi="宋体" w:eastAsia="宋体" w:cs="宋体"/>
          <w:snapToGrid/>
          <w:kern w:val="2"/>
          <w:szCs w:val="21"/>
          <w:u w:val="single"/>
          <w:lang w:eastAsia="zh-CN"/>
        </w:rPr>
        <w:t xml:space="preserve">                                                </w:t>
      </w:r>
    </w:p>
    <w:p w14:paraId="1FA68781">
      <w:pPr>
        <w:widowControl w:val="0"/>
        <w:numPr>
          <w:ilvl w:val="0"/>
          <w:numId w:val="1"/>
        </w:numPr>
        <w:kinsoku/>
        <w:autoSpaceDE/>
        <w:autoSpaceDN/>
        <w:adjustRightInd w:val="0"/>
        <w:snapToGrid w:val="0"/>
        <w:spacing w:before="0" w:beforeLines="0" w:line="400" w:lineRule="exact"/>
        <w:ind w:firstLine="422" w:firstLineChars="200"/>
        <w:jc w:val="both"/>
        <w:textAlignment w:val="auto"/>
        <w:rPr>
          <w:rFonts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合同验收</w:t>
      </w:r>
    </w:p>
    <w:p w14:paraId="7C05FB67">
      <w:pPr>
        <w:widowControl w:val="0"/>
        <w:numPr>
          <w:ilvl w:val="0"/>
          <w:numId w:val="3"/>
        </w:numPr>
        <w:kinsoku/>
        <w:autoSpaceDE/>
        <w:autoSpaceDN/>
        <w:adjustRightInd w:val="0"/>
        <w:snapToGrid w:val="0"/>
        <w:spacing w:before="0" w:beforeLines="0" w:line="400" w:lineRule="exact"/>
        <w:ind w:firstLine="420" w:firstLineChars="200"/>
        <w:jc w:val="both"/>
        <w:textAlignment w:val="auto"/>
        <w:rPr>
          <w:rFonts w:hint="eastAsia" w:ascii="宋体" w:hAnsi="宋体" w:eastAsia="宋体" w:cs="Times New Roman"/>
          <w:bCs/>
          <w:snapToGrid/>
          <w:kern w:val="2"/>
          <w:szCs w:val="21"/>
          <w:lang w:eastAsia="zh-CN"/>
        </w:rPr>
      </w:pPr>
      <w:r>
        <w:rPr>
          <w:rFonts w:hint="eastAsia" w:ascii="宋体" w:hAnsi="宋体" w:eastAsia="宋体" w:cs="Times New Roman"/>
          <w:bCs/>
          <w:snapToGrid/>
          <w:kern w:val="2"/>
          <w:szCs w:val="21"/>
          <w:lang w:eastAsia="zh-CN"/>
        </w:rPr>
        <w:t>验收组织方式：</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 xml:space="preserve">自行组织 </w:t>
      </w:r>
      <w:r>
        <w:rPr>
          <w:rFonts w:hint="eastAsia" w:ascii="宋体" w:hAnsi="宋体" w:eastAsia="宋体" w:cs="宋体"/>
          <w:snapToGrid/>
          <w:kern w:val="2"/>
          <w:sz w:val="21"/>
          <w:szCs w:val="21"/>
          <w:lang w:eastAsia="zh-CN"/>
        </w:rPr>
        <w:sym w:font="Wingdings" w:char="00FE"/>
      </w:r>
      <w:r>
        <w:rPr>
          <w:rFonts w:hint="eastAsia" w:ascii="宋体" w:hAnsi="宋体" w:eastAsia="宋体" w:cs="Times New Roman"/>
          <w:bCs/>
          <w:snapToGrid/>
          <w:kern w:val="2"/>
          <w:szCs w:val="21"/>
          <w:lang w:eastAsia="zh-CN"/>
        </w:rPr>
        <w:t>委托第三方组织</w:t>
      </w:r>
    </w:p>
    <w:p w14:paraId="00220FB5">
      <w:pPr>
        <w:widowControl w:val="0"/>
        <w:numPr>
          <w:ilvl w:val="0"/>
          <w:numId w:val="0"/>
        </w:numPr>
        <w:kinsoku/>
        <w:autoSpaceDE/>
        <w:autoSpaceDN/>
        <w:adjustRightInd w:val="0"/>
        <w:snapToGrid w:val="0"/>
        <w:spacing w:before="0" w:beforeLines="0" w:line="400" w:lineRule="exact"/>
        <w:jc w:val="both"/>
        <w:textAlignment w:val="auto"/>
        <w:rPr>
          <w:rFonts w:ascii="宋体" w:hAnsi="宋体" w:eastAsia="宋体" w:cs="Times New Roman"/>
          <w:bCs/>
          <w:snapToGrid/>
          <w:kern w:val="2"/>
          <w:szCs w:val="21"/>
          <w:lang w:eastAsia="zh-CN"/>
        </w:rPr>
      </w:pPr>
      <w:r>
        <w:rPr>
          <w:rFonts w:hint="eastAsia" w:ascii="宋体" w:hAnsi="宋体" w:eastAsia="宋体" w:cs="Times New Roman"/>
          <w:bCs/>
          <w:snapToGrid/>
          <w:kern w:val="2"/>
          <w:szCs w:val="21"/>
          <w:lang w:val="en-US" w:eastAsia="zh-CN"/>
        </w:rPr>
        <w:t xml:space="preserve">         </w:t>
      </w:r>
      <w:r>
        <w:rPr>
          <w:rFonts w:hint="eastAsia" w:ascii="宋体" w:hAnsi="宋体" w:eastAsia="宋体" w:cs="Times New Roman"/>
          <w:bCs/>
          <w:snapToGrid/>
          <w:kern w:val="2"/>
          <w:szCs w:val="21"/>
          <w:lang w:eastAsia="zh-CN"/>
        </w:rPr>
        <w:t>验收主体：</w:t>
      </w:r>
      <w:r>
        <w:rPr>
          <w:rFonts w:hint="eastAsia" w:ascii="宋体" w:hAnsi="宋体" w:eastAsia="宋体" w:cs="Times New Roman"/>
          <w:bCs/>
          <w:snapToGrid/>
          <w:kern w:val="2"/>
          <w:szCs w:val="21"/>
          <w:u w:val="single"/>
          <w:lang w:eastAsia="zh-CN"/>
        </w:rPr>
        <w:t>登封市疾病预防控制中心</w:t>
      </w:r>
    </w:p>
    <w:p w14:paraId="1ABBA581">
      <w:pPr>
        <w:widowControl w:val="0"/>
        <w:kinsoku/>
        <w:autoSpaceDE/>
        <w:autoSpaceDN/>
        <w:adjustRightInd w:val="0"/>
        <w:snapToGrid w:val="0"/>
        <w:spacing w:before="0" w:beforeLines="0" w:line="400" w:lineRule="exact"/>
        <w:ind w:firstLine="0" w:firstLineChars="0"/>
        <w:jc w:val="both"/>
        <w:textAlignment w:val="auto"/>
        <w:rPr>
          <w:rFonts w:ascii="宋体" w:hAnsi="宋体" w:eastAsia="宋体" w:cs="Times New Roman"/>
          <w:bCs/>
          <w:snapToGrid/>
          <w:kern w:val="2"/>
          <w:szCs w:val="21"/>
          <w:lang w:eastAsia="zh-CN"/>
        </w:rPr>
      </w:pPr>
      <w:r>
        <w:rPr>
          <w:rFonts w:hint="eastAsia" w:ascii="宋体" w:hAnsi="宋体" w:eastAsia="宋体" w:cs="Times New Roman"/>
          <w:bCs/>
          <w:snapToGrid/>
          <w:kern w:val="2"/>
          <w:szCs w:val="21"/>
          <w:lang w:val="en-US" w:eastAsia="zh-CN"/>
        </w:rPr>
        <w:t xml:space="preserve">        </w:t>
      </w:r>
      <w:r>
        <w:rPr>
          <w:rFonts w:hint="eastAsia" w:ascii="宋体" w:hAnsi="宋体" w:eastAsia="宋体" w:cs="Times New Roman"/>
          <w:bCs/>
          <w:snapToGrid/>
          <w:kern w:val="2"/>
          <w:szCs w:val="21"/>
          <w:lang w:eastAsia="zh-CN"/>
        </w:rPr>
        <w:t>是否邀请本项目的其他供应商参加验收：</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 xml:space="preserve">是  </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否</w:t>
      </w:r>
    </w:p>
    <w:p w14:paraId="54411F2F">
      <w:pPr>
        <w:widowControl w:val="0"/>
        <w:kinsoku/>
        <w:autoSpaceDE/>
        <w:autoSpaceDN/>
        <w:adjustRightInd w:val="0"/>
        <w:snapToGrid w:val="0"/>
        <w:spacing w:before="0" w:beforeLines="0" w:line="400" w:lineRule="exact"/>
        <w:ind w:firstLine="840" w:firstLineChars="400"/>
        <w:jc w:val="both"/>
        <w:textAlignment w:val="auto"/>
        <w:rPr>
          <w:rFonts w:ascii="宋体" w:hAnsi="宋体" w:eastAsia="宋体" w:cs="Times New Roman"/>
          <w:bCs/>
          <w:snapToGrid/>
          <w:kern w:val="2"/>
          <w:szCs w:val="21"/>
          <w:lang w:eastAsia="zh-CN"/>
        </w:rPr>
      </w:pPr>
      <w:r>
        <w:rPr>
          <w:rFonts w:hint="eastAsia" w:ascii="宋体" w:hAnsi="宋体" w:eastAsia="宋体" w:cs="Times New Roman"/>
          <w:bCs/>
          <w:snapToGrid/>
          <w:kern w:val="2"/>
          <w:szCs w:val="21"/>
          <w:lang w:eastAsia="zh-CN"/>
        </w:rPr>
        <w:t>是否邀请专家参加验收：</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 xml:space="preserve">是  </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否</w:t>
      </w:r>
    </w:p>
    <w:p w14:paraId="292EA02A">
      <w:pPr>
        <w:widowControl w:val="0"/>
        <w:kinsoku/>
        <w:autoSpaceDE/>
        <w:autoSpaceDN/>
        <w:adjustRightInd w:val="0"/>
        <w:snapToGrid w:val="0"/>
        <w:spacing w:before="0" w:beforeLines="0" w:line="400" w:lineRule="exact"/>
        <w:ind w:firstLine="840" w:firstLineChars="400"/>
        <w:jc w:val="both"/>
        <w:textAlignment w:val="auto"/>
        <w:rPr>
          <w:rFonts w:ascii="宋体" w:hAnsi="宋体" w:eastAsia="宋体" w:cs="Times New Roman"/>
          <w:bCs/>
          <w:snapToGrid/>
          <w:kern w:val="2"/>
          <w:szCs w:val="21"/>
          <w:lang w:eastAsia="zh-CN"/>
        </w:rPr>
      </w:pPr>
      <w:r>
        <w:rPr>
          <w:rFonts w:hint="eastAsia" w:ascii="宋体" w:hAnsi="宋体" w:eastAsia="宋体" w:cs="Times New Roman"/>
          <w:bCs/>
          <w:snapToGrid/>
          <w:kern w:val="2"/>
          <w:szCs w:val="21"/>
          <w:lang w:eastAsia="zh-CN"/>
        </w:rPr>
        <w:t>是否邀请服务对象参加验收：</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 xml:space="preserve">是  </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否</w:t>
      </w:r>
    </w:p>
    <w:p w14:paraId="2B9563C6">
      <w:pPr>
        <w:widowControl w:val="0"/>
        <w:kinsoku/>
        <w:autoSpaceDE/>
        <w:autoSpaceDN/>
        <w:adjustRightInd w:val="0"/>
        <w:snapToGrid w:val="0"/>
        <w:spacing w:before="0" w:beforeLines="0" w:line="400" w:lineRule="exact"/>
        <w:ind w:firstLine="840" w:firstLineChars="400"/>
        <w:jc w:val="both"/>
        <w:textAlignment w:val="auto"/>
        <w:rPr>
          <w:rFonts w:ascii="宋体" w:hAnsi="宋体" w:eastAsia="宋体" w:cs="Times New Roman"/>
          <w:bCs/>
          <w:snapToGrid/>
          <w:kern w:val="2"/>
          <w:szCs w:val="21"/>
          <w:lang w:eastAsia="zh-CN"/>
        </w:rPr>
      </w:pPr>
      <w:r>
        <w:rPr>
          <w:rFonts w:hint="eastAsia" w:ascii="宋体" w:hAnsi="宋体" w:eastAsia="宋体" w:cs="Times New Roman"/>
          <w:bCs/>
          <w:snapToGrid/>
          <w:kern w:val="2"/>
          <w:szCs w:val="21"/>
          <w:lang w:eastAsia="zh-CN"/>
        </w:rPr>
        <w:t>是否邀请第三方检测机构参加验收：</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 xml:space="preserve">是  </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否</w:t>
      </w:r>
    </w:p>
    <w:p w14:paraId="6DE2AF20">
      <w:pPr>
        <w:widowControl w:val="0"/>
        <w:kinsoku/>
        <w:autoSpaceDE/>
        <w:autoSpaceDN/>
        <w:adjustRightInd w:val="0"/>
        <w:snapToGrid w:val="0"/>
        <w:spacing w:before="0" w:beforeLines="0" w:line="400" w:lineRule="exact"/>
        <w:ind w:firstLine="840" w:firstLineChars="400"/>
        <w:jc w:val="both"/>
        <w:textAlignment w:val="auto"/>
        <w:rPr>
          <w:rFonts w:hint="eastAsia" w:ascii="宋体" w:hAnsi="宋体" w:eastAsia="宋体" w:cs="Times New Roman"/>
          <w:bCs/>
          <w:snapToGrid/>
          <w:kern w:val="2"/>
          <w:szCs w:val="21"/>
          <w:lang w:eastAsia="zh-CN"/>
        </w:rPr>
      </w:pPr>
      <w:r>
        <w:rPr>
          <w:rFonts w:hint="eastAsia" w:ascii="宋体" w:hAnsi="宋体" w:eastAsia="宋体" w:cs="Times New Roman"/>
          <w:bCs/>
          <w:snapToGrid/>
          <w:kern w:val="2"/>
          <w:szCs w:val="21"/>
          <w:lang w:eastAsia="zh-CN"/>
        </w:rPr>
        <w:t>是否进行抽查检测：</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是，抽查比例：</w:t>
      </w:r>
      <w:r>
        <w:rPr>
          <w:rFonts w:hint="eastAsia" w:ascii="宋体" w:hAnsi="宋体" w:eastAsia="宋体" w:cs="Times New Roman"/>
          <w:bCs/>
          <w:snapToGrid/>
          <w:kern w:val="2"/>
          <w:szCs w:val="21"/>
          <w:u w:val="single"/>
          <w:lang w:eastAsia="zh-CN"/>
        </w:rPr>
        <w:t xml:space="preserve">   </w:t>
      </w:r>
      <w:r>
        <w:rPr>
          <w:rFonts w:hint="eastAsia" w:ascii="宋体" w:hAnsi="宋体" w:eastAsia="宋体" w:cs="Times New Roman"/>
          <w:bCs/>
          <w:snapToGrid/>
          <w:kern w:val="2"/>
          <w:szCs w:val="21"/>
          <w:u w:val="single"/>
          <w:lang w:val="en-US" w:eastAsia="zh-CN"/>
        </w:rPr>
        <w:t xml:space="preserve">     </w:t>
      </w:r>
      <w:r>
        <w:rPr>
          <w:rFonts w:hint="eastAsia" w:ascii="宋体" w:hAnsi="宋体" w:eastAsia="宋体" w:cs="Times New Roman"/>
          <w:bCs/>
          <w:snapToGrid/>
          <w:kern w:val="2"/>
          <w:szCs w:val="21"/>
          <w:lang w:eastAsia="zh-CN"/>
        </w:rPr>
        <w:t xml:space="preserve"> </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否</w:t>
      </w:r>
    </w:p>
    <w:p w14:paraId="2760297F">
      <w:pPr>
        <w:widowControl w:val="0"/>
        <w:kinsoku/>
        <w:autoSpaceDE/>
        <w:autoSpaceDN/>
        <w:adjustRightInd w:val="0"/>
        <w:snapToGrid w:val="0"/>
        <w:spacing w:before="0" w:beforeLines="0" w:line="400" w:lineRule="exact"/>
        <w:ind w:firstLine="840" w:firstLineChars="400"/>
        <w:jc w:val="both"/>
        <w:textAlignment w:val="auto"/>
        <w:rPr>
          <w:rFonts w:hint="eastAsia" w:ascii="宋体" w:hAnsi="宋体" w:eastAsia="宋体" w:cs="Times New Roman"/>
          <w:bCs/>
          <w:snapToGrid/>
          <w:kern w:val="2"/>
          <w:szCs w:val="21"/>
          <w:u w:val="single"/>
          <w:lang w:eastAsia="zh-CN"/>
        </w:rPr>
      </w:pPr>
      <w:r>
        <w:rPr>
          <w:rFonts w:hint="eastAsia" w:ascii="宋体" w:hAnsi="宋体" w:eastAsia="宋体" w:cs="Times New Roman"/>
          <w:bCs/>
          <w:snapToGrid/>
          <w:kern w:val="2"/>
          <w:szCs w:val="21"/>
          <w:lang w:val="en-US" w:eastAsia="zh-CN"/>
        </w:rPr>
        <w:t>是否存在破坏性检测：</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是，</w:t>
      </w:r>
      <w:r>
        <w:rPr>
          <w:rFonts w:hint="eastAsia" w:ascii="宋体" w:hAnsi="宋体" w:eastAsia="宋体" w:cs="Times New Roman"/>
          <w:bCs/>
          <w:snapToGrid/>
          <w:kern w:val="2"/>
          <w:szCs w:val="21"/>
          <w:u w:val="single"/>
          <w:lang w:eastAsia="zh-CN"/>
        </w:rPr>
        <w:t>（应明确对被破坏的检测产品的处理方式）</w:t>
      </w:r>
    </w:p>
    <w:p w14:paraId="08110814">
      <w:pPr>
        <w:widowControl w:val="0"/>
        <w:kinsoku/>
        <w:autoSpaceDE/>
        <w:autoSpaceDN/>
        <w:adjustRightInd w:val="0"/>
        <w:snapToGrid w:val="0"/>
        <w:spacing w:before="0" w:beforeLines="0" w:line="400" w:lineRule="exact"/>
        <w:ind w:firstLine="840" w:firstLineChars="400"/>
        <w:jc w:val="both"/>
        <w:textAlignment w:val="auto"/>
        <w:rPr>
          <w:rFonts w:hint="eastAsia" w:ascii="宋体" w:hAnsi="宋体" w:eastAsia="宋体" w:cs="Times New Roman"/>
          <w:bCs/>
          <w:snapToGrid/>
          <w:kern w:val="2"/>
          <w:szCs w:val="21"/>
          <w:lang w:eastAsia="zh-CN"/>
        </w:rPr>
      </w:pPr>
      <w:r>
        <w:rPr>
          <w:rFonts w:hint="eastAsia" w:ascii="宋体" w:hAnsi="宋体" w:eastAsia="宋体" w:cs="Times New Roman"/>
          <w:bCs/>
          <w:snapToGrid/>
          <w:kern w:val="2"/>
          <w:szCs w:val="21"/>
          <w:lang w:val="en-US" w:eastAsia="zh-CN"/>
        </w:rPr>
        <w:t xml:space="preserve">                    </w:t>
      </w:r>
      <w:r>
        <w:rPr>
          <w:rFonts w:hint="eastAsia" w:ascii="宋体" w:hAnsi="宋体" w:eastAsia="宋体" w:cs="宋体"/>
          <w:snapToGrid/>
          <w:kern w:val="2"/>
          <w:sz w:val="21"/>
          <w:szCs w:val="21"/>
          <w:lang w:eastAsia="zh-CN"/>
        </w:rPr>
        <w:sym w:font="Wingdings" w:char="00FE"/>
      </w:r>
      <w:r>
        <w:rPr>
          <w:rFonts w:hint="eastAsia" w:ascii="宋体" w:hAnsi="宋体" w:eastAsia="宋体" w:cs="Times New Roman"/>
          <w:bCs/>
          <w:snapToGrid/>
          <w:kern w:val="2"/>
          <w:szCs w:val="21"/>
          <w:lang w:eastAsia="zh-CN"/>
        </w:rPr>
        <w:t>否</w:t>
      </w:r>
    </w:p>
    <w:p w14:paraId="4058D5BB">
      <w:pPr>
        <w:widowControl w:val="0"/>
        <w:kinsoku/>
        <w:autoSpaceDE/>
        <w:autoSpaceDN/>
        <w:adjustRightInd w:val="0"/>
        <w:snapToGrid w:val="0"/>
        <w:spacing w:before="0" w:beforeLines="0" w:line="400" w:lineRule="exact"/>
        <w:ind w:firstLine="840" w:firstLineChars="400"/>
        <w:jc w:val="both"/>
        <w:textAlignment w:val="auto"/>
        <w:rPr>
          <w:rFonts w:hint="eastAsia" w:ascii="宋体" w:hAnsi="宋体" w:eastAsia="宋体" w:cs="Times New Roman"/>
          <w:bCs/>
          <w:snapToGrid/>
          <w:kern w:val="2"/>
          <w:szCs w:val="21"/>
          <w:u w:val="single"/>
          <w:lang w:eastAsia="zh-CN"/>
        </w:rPr>
      </w:pPr>
      <w:r>
        <w:rPr>
          <w:rFonts w:hint="eastAsia" w:ascii="宋体" w:hAnsi="宋体" w:eastAsia="宋体" w:cs="Times New Roman"/>
          <w:bCs/>
          <w:snapToGrid/>
          <w:kern w:val="2"/>
          <w:szCs w:val="21"/>
          <w:lang w:eastAsia="zh-CN"/>
        </w:rPr>
        <w:t>验收组织的其他事项：</w:t>
      </w:r>
      <w:r>
        <w:rPr>
          <w:rFonts w:hint="eastAsia" w:ascii="宋体" w:hAnsi="宋体" w:eastAsia="宋体" w:cs="Times New Roman"/>
          <w:bCs/>
          <w:snapToGrid/>
          <w:kern w:val="2"/>
          <w:szCs w:val="21"/>
          <w:u w:val="single"/>
          <w:lang w:eastAsia="zh-CN"/>
        </w:rPr>
        <w:t xml:space="preserve">                </w:t>
      </w:r>
    </w:p>
    <w:p w14:paraId="0175E91F">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Times New Roman"/>
          <w:bCs/>
          <w:snapToGrid/>
          <w:kern w:val="2"/>
          <w:szCs w:val="21"/>
          <w:u w:val="single"/>
          <w:lang w:eastAsia="zh-CN"/>
        </w:rPr>
      </w:pPr>
      <w:r>
        <w:rPr>
          <w:rFonts w:hint="eastAsia" w:ascii="宋体" w:hAnsi="宋体" w:eastAsia="宋体" w:cs="Times New Roman"/>
          <w:bCs/>
          <w:snapToGrid/>
          <w:kern w:val="2"/>
          <w:szCs w:val="21"/>
          <w:lang w:eastAsia="zh-CN"/>
        </w:rPr>
        <w:t>（2）履约验收时间：</w:t>
      </w:r>
      <w:r>
        <w:rPr>
          <w:rFonts w:hint="eastAsia" w:ascii="宋体" w:hAnsi="宋体" w:eastAsia="宋体" w:cs="Times New Roman"/>
          <w:bCs/>
          <w:snapToGrid/>
          <w:kern w:val="2"/>
          <w:szCs w:val="21"/>
          <w:u w:val="single"/>
          <w:lang w:eastAsia="zh-CN"/>
        </w:rPr>
        <w:t>（计划于供应商提出验收申请之日起</w:t>
      </w:r>
      <w:r>
        <w:rPr>
          <w:rFonts w:hint="eastAsia" w:ascii="宋体" w:hAnsi="宋体" w:eastAsia="宋体" w:cs="Times New Roman"/>
          <w:bCs/>
          <w:snapToGrid/>
          <w:kern w:val="2"/>
          <w:szCs w:val="21"/>
          <w:u w:val="single"/>
          <w:lang w:val="en-US" w:eastAsia="zh-CN"/>
        </w:rPr>
        <w:t>7</w:t>
      </w:r>
      <w:r>
        <w:rPr>
          <w:rFonts w:hint="eastAsia" w:ascii="宋体" w:hAnsi="宋体" w:eastAsia="宋体" w:cs="Times New Roman"/>
          <w:bCs/>
          <w:snapToGrid/>
          <w:kern w:val="2"/>
          <w:szCs w:val="21"/>
          <w:u w:val="single"/>
          <w:lang w:eastAsia="zh-CN"/>
        </w:rPr>
        <w:t>日内组织验收）</w:t>
      </w:r>
      <w:r>
        <w:rPr>
          <w:rFonts w:hint="eastAsia" w:ascii="宋体" w:hAnsi="宋体" w:eastAsia="宋体" w:cs="Times New Roman"/>
          <w:bCs/>
          <w:snapToGrid/>
          <w:kern w:val="2"/>
          <w:szCs w:val="21"/>
          <w:u w:val="single"/>
          <w:lang w:val="en-US" w:eastAsia="zh-CN"/>
        </w:rPr>
        <w:t xml:space="preserve"> </w:t>
      </w:r>
    </w:p>
    <w:p w14:paraId="57C5D6DF">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Times New Roman"/>
          <w:bCs/>
          <w:snapToGrid/>
          <w:kern w:val="2"/>
          <w:szCs w:val="21"/>
          <w:lang w:eastAsia="zh-CN"/>
        </w:rPr>
      </w:pPr>
      <w:r>
        <w:rPr>
          <w:rFonts w:hint="eastAsia" w:ascii="宋体" w:hAnsi="宋体" w:eastAsia="宋体" w:cs="Times New Roman"/>
          <w:bCs/>
          <w:snapToGrid/>
          <w:kern w:val="2"/>
          <w:szCs w:val="21"/>
          <w:lang w:eastAsia="zh-CN"/>
        </w:rPr>
        <w:t>（3）履约验收方式：</w:t>
      </w:r>
      <w:r>
        <w:rPr>
          <w:rFonts w:hint="eastAsia" w:ascii="宋体" w:hAnsi="宋体" w:eastAsia="宋体" w:cs="宋体"/>
          <w:snapToGrid/>
          <w:kern w:val="2"/>
          <w:sz w:val="21"/>
          <w:szCs w:val="21"/>
          <w:lang w:eastAsia="zh-CN"/>
        </w:rPr>
        <w:sym w:font="Wingdings" w:char="00FE"/>
      </w:r>
      <w:r>
        <w:rPr>
          <w:rFonts w:hint="eastAsia" w:ascii="宋体" w:hAnsi="宋体" w:eastAsia="宋体" w:cs="Times New Roman"/>
          <w:bCs/>
          <w:snapToGrid/>
          <w:kern w:val="2"/>
          <w:szCs w:val="21"/>
          <w:lang w:eastAsia="zh-CN"/>
        </w:rPr>
        <w:t xml:space="preserve">一次性验收         </w:t>
      </w:r>
    </w:p>
    <w:p w14:paraId="1C9DFA98">
      <w:pPr>
        <w:widowControl w:val="0"/>
        <w:kinsoku/>
        <w:autoSpaceDE/>
        <w:autoSpaceDN/>
        <w:adjustRightInd w:val="0"/>
        <w:snapToGrid w:val="0"/>
        <w:spacing w:before="0" w:beforeLines="0" w:line="400" w:lineRule="exact"/>
        <w:ind w:firstLine="0" w:firstLineChars="0"/>
        <w:jc w:val="both"/>
        <w:textAlignment w:val="auto"/>
        <w:rPr>
          <w:rFonts w:hint="eastAsia" w:ascii="宋体" w:hAnsi="宋体" w:eastAsia="宋体" w:cs="Times New Roman"/>
          <w:bCs/>
          <w:snapToGrid/>
          <w:kern w:val="2"/>
          <w:szCs w:val="21"/>
          <w:lang w:val="en-US" w:eastAsia="zh-CN"/>
        </w:rPr>
      </w:pPr>
      <w:r>
        <w:rPr>
          <w:rFonts w:hint="eastAsia" w:ascii="宋体" w:hAnsi="宋体" w:eastAsia="宋体" w:cs="Times New Roman"/>
          <w:bCs/>
          <w:snapToGrid/>
          <w:kern w:val="2"/>
          <w:szCs w:val="21"/>
          <w:lang w:val="en-US" w:eastAsia="zh-CN"/>
        </w:rPr>
        <w:t xml:space="preserve">                       </w:t>
      </w:r>
      <w:r>
        <w:rPr>
          <w:rFonts w:hint="eastAsia" w:ascii="宋体" w:hAnsi="宋体" w:eastAsia="宋体" w:cs="宋体"/>
          <w:snapToGrid/>
          <w:kern w:val="2"/>
          <w:sz w:val="21"/>
          <w:szCs w:val="21"/>
          <w:lang w:eastAsia="zh-CN"/>
        </w:rPr>
        <w:sym w:font="Wingdings" w:char="00A8"/>
      </w:r>
      <w:r>
        <w:rPr>
          <w:rFonts w:hint="eastAsia" w:ascii="宋体" w:hAnsi="宋体" w:eastAsia="宋体" w:cs="Times New Roman"/>
          <w:bCs/>
          <w:snapToGrid/>
          <w:kern w:val="2"/>
          <w:szCs w:val="21"/>
          <w:lang w:eastAsia="zh-CN"/>
        </w:rPr>
        <w:t>分项验收：</w:t>
      </w:r>
      <w:r>
        <w:rPr>
          <w:rFonts w:hint="eastAsia" w:ascii="宋体" w:hAnsi="宋体" w:eastAsia="宋体" w:cs="Times New Roman"/>
          <w:bCs/>
          <w:snapToGrid/>
          <w:kern w:val="2"/>
          <w:szCs w:val="21"/>
          <w:u w:val="single"/>
          <w:lang w:eastAsia="zh-CN"/>
        </w:rPr>
        <w:t xml:space="preserve"> （应明确分期</w:t>
      </w:r>
      <w:r>
        <w:rPr>
          <w:rFonts w:hint="default" w:ascii="宋体" w:hAnsi="宋体" w:eastAsia="宋体" w:cs="Times New Roman"/>
          <w:bCs/>
          <w:snapToGrid/>
          <w:kern w:val="2"/>
          <w:szCs w:val="21"/>
          <w:u w:val="single"/>
          <w:lang w:val="en" w:eastAsia="zh-CN"/>
        </w:rPr>
        <w:t>/</w:t>
      </w:r>
      <w:r>
        <w:rPr>
          <w:rFonts w:hint="eastAsia" w:ascii="宋体" w:hAnsi="宋体" w:eastAsia="宋体" w:cs="Times New Roman"/>
          <w:bCs/>
          <w:snapToGrid/>
          <w:kern w:val="2"/>
          <w:szCs w:val="21"/>
          <w:u w:val="single"/>
          <w:lang w:val="en" w:eastAsia="zh-CN"/>
        </w:rPr>
        <w:t>分项验收的工作安排</w:t>
      </w:r>
      <w:r>
        <w:rPr>
          <w:rFonts w:hint="eastAsia" w:ascii="宋体" w:hAnsi="宋体" w:eastAsia="宋体" w:cs="Times New Roman"/>
          <w:bCs/>
          <w:snapToGrid/>
          <w:kern w:val="2"/>
          <w:szCs w:val="21"/>
          <w:u w:val="single"/>
          <w:lang w:eastAsia="zh-CN"/>
        </w:rPr>
        <w:t xml:space="preserve">） </w:t>
      </w:r>
      <w:r>
        <w:rPr>
          <w:rFonts w:hint="eastAsia" w:ascii="宋体" w:hAnsi="宋体" w:eastAsia="宋体" w:cs="Times New Roman"/>
          <w:bCs/>
          <w:snapToGrid/>
          <w:kern w:val="2"/>
          <w:szCs w:val="21"/>
          <w:u w:val="single"/>
          <w:lang w:val="en-US" w:eastAsia="zh-CN"/>
        </w:rPr>
        <w:t xml:space="preserve"> </w:t>
      </w:r>
    </w:p>
    <w:p w14:paraId="4BBB6DCF">
      <w:pPr>
        <w:widowControl w:val="0"/>
        <w:kinsoku/>
        <w:autoSpaceDE/>
        <w:autoSpaceDN/>
        <w:adjustRightInd w:val="0"/>
        <w:snapToGrid w:val="0"/>
        <w:spacing w:before="0" w:beforeLines="0" w:line="400" w:lineRule="exact"/>
        <w:ind w:firstLine="420" w:firstLineChars="200"/>
        <w:jc w:val="both"/>
        <w:textAlignment w:val="auto"/>
        <w:rPr>
          <w:rFonts w:hint="default" w:ascii="宋体" w:hAnsi="宋体" w:eastAsia="宋体" w:cs="Times New Roman"/>
          <w:bCs/>
          <w:snapToGrid/>
          <w:kern w:val="2"/>
          <w:szCs w:val="21"/>
          <w:lang w:val="en-US" w:eastAsia="zh-CN"/>
        </w:rPr>
      </w:pPr>
      <w:r>
        <w:rPr>
          <w:rFonts w:hint="eastAsia" w:ascii="宋体" w:hAnsi="宋体" w:eastAsia="宋体" w:cs="Times New Roman"/>
          <w:bCs/>
          <w:snapToGrid/>
          <w:kern w:val="2"/>
          <w:szCs w:val="21"/>
          <w:lang w:eastAsia="zh-CN"/>
        </w:rPr>
        <w:t>（4）履约验收程序：</w:t>
      </w:r>
      <w:r>
        <w:rPr>
          <w:rFonts w:hint="eastAsia" w:ascii="宋体" w:hAnsi="宋体" w:eastAsia="宋体" w:cs="Times New Roman"/>
          <w:bCs/>
          <w:snapToGrid/>
          <w:kern w:val="2"/>
          <w:szCs w:val="21"/>
          <w:u w:val="single"/>
          <w:lang w:val="en-US" w:eastAsia="zh-CN"/>
        </w:rPr>
        <w:t>按照甲乙双方确认的验收方案中约定的程序进行</w:t>
      </w:r>
      <w:r>
        <w:rPr>
          <w:rFonts w:hint="eastAsia" w:ascii="宋体" w:hAnsi="宋体" w:eastAsia="宋体" w:cs="Times New Roman"/>
          <w:bCs/>
          <w:snapToGrid/>
          <w:kern w:val="2"/>
          <w:szCs w:val="21"/>
          <w:lang w:val="en-US" w:eastAsia="zh-CN"/>
        </w:rPr>
        <w:t>。</w:t>
      </w:r>
    </w:p>
    <w:p w14:paraId="5DA5A0C8">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bCs/>
          <w:snapToGrid/>
          <w:kern w:val="2"/>
          <w:szCs w:val="21"/>
          <w:u w:val="single"/>
          <w:lang w:eastAsia="zh-CN"/>
        </w:rPr>
      </w:pPr>
      <w:r>
        <w:rPr>
          <w:rFonts w:hint="eastAsia" w:ascii="宋体" w:hAnsi="宋体" w:eastAsia="宋体" w:cs="Times New Roman"/>
          <w:bCs/>
          <w:snapToGrid/>
          <w:kern w:val="2"/>
          <w:szCs w:val="21"/>
          <w:lang w:eastAsia="zh-CN"/>
        </w:rPr>
        <w:t>（5）履约验收的内容：</w:t>
      </w:r>
      <w:r>
        <w:rPr>
          <w:rFonts w:hint="eastAsia" w:ascii="宋体" w:hAnsi="宋体" w:eastAsia="宋体" w:cs="Times New Roman"/>
          <w:bCs/>
          <w:snapToGrid/>
          <w:kern w:val="2"/>
          <w:szCs w:val="21"/>
          <w:u w:val="single"/>
          <w:lang w:eastAsia="zh-CN"/>
        </w:rPr>
        <w:t xml:space="preserve"> （应当包括每一项技术和商务要求的履约情况，特别是落实政府采购扶持中小企业，支持绿色发展和乡村振兴等政策情况）                                      </w:t>
      </w:r>
    </w:p>
    <w:p w14:paraId="464DA8DF">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Times New Roman"/>
          <w:bCs/>
          <w:snapToGrid/>
          <w:kern w:val="2"/>
          <w:szCs w:val="21"/>
          <w:u w:val="single"/>
          <w:lang w:eastAsia="zh-CN"/>
        </w:rPr>
      </w:pPr>
      <w:r>
        <w:rPr>
          <w:rFonts w:hint="eastAsia" w:ascii="宋体" w:hAnsi="宋体" w:eastAsia="宋体" w:cs="Times New Roman"/>
          <w:bCs/>
          <w:snapToGrid/>
          <w:kern w:val="2"/>
          <w:szCs w:val="21"/>
          <w:lang w:eastAsia="zh-CN"/>
        </w:rPr>
        <w:t>（6）履约验收标准：</w:t>
      </w:r>
      <w:r>
        <w:rPr>
          <w:rFonts w:hint="eastAsia" w:ascii="宋体" w:hAnsi="宋体" w:eastAsia="宋体" w:cs="Times New Roman"/>
          <w:bCs/>
          <w:snapToGrid/>
          <w:kern w:val="2"/>
          <w:szCs w:val="21"/>
          <w:u w:val="single"/>
          <w:lang w:eastAsia="zh-CN"/>
        </w:rPr>
        <w:t xml:space="preserve">                                         </w:t>
      </w:r>
    </w:p>
    <w:p w14:paraId="27F94DBE">
      <w:pPr>
        <w:autoSpaceDE w:val="0"/>
        <w:autoSpaceDN w:val="0"/>
        <w:adjustRightInd w:val="0"/>
        <w:spacing w:beforeLines="0"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bCs/>
          <w:sz w:val="21"/>
          <w:szCs w:val="21"/>
          <w:u w:val="none"/>
          <w:lang w:val="en-US" w:eastAsia="zh-CN" w:bidi="ar-SA"/>
        </w:rPr>
        <w:t>（7）是否以采购活动中供应商提供的样品作为参考：</w:t>
      </w:r>
      <w:r>
        <w:rPr>
          <w:rFonts w:hint="eastAsia" w:ascii="宋体" w:hAnsi="宋体" w:eastAsia="宋体" w:cs="宋体"/>
          <w:sz w:val="21"/>
          <w:szCs w:val="21"/>
          <w:lang w:val="en-US" w:eastAsia="zh-CN" w:bidi="ar-SA"/>
        </w:rPr>
        <w:sym w:font="Wingdings" w:char="00A8"/>
      </w:r>
      <w:r>
        <w:rPr>
          <w:rFonts w:hint="eastAsia" w:ascii="宋体" w:hAnsi="宋体" w:eastAsia="宋体" w:cs="宋体"/>
          <w:bCs/>
          <w:sz w:val="21"/>
          <w:szCs w:val="21"/>
          <w:lang w:val="en-US" w:eastAsia="zh-CN" w:bidi="ar-SA"/>
        </w:rPr>
        <w:t xml:space="preserve">是  </w:t>
      </w:r>
      <w:r>
        <w:rPr>
          <w:rFonts w:hint="eastAsia" w:ascii="宋体" w:hAnsi="宋体" w:eastAsia="宋体" w:cs="宋体"/>
          <w:sz w:val="21"/>
          <w:szCs w:val="21"/>
          <w:lang w:val="en-US" w:eastAsia="zh-CN" w:bidi="ar-SA"/>
        </w:rPr>
        <w:sym w:font="Wingdings" w:char="00FE"/>
      </w:r>
      <w:r>
        <w:rPr>
          <w:rFonts w:hint="eastAsia" w:ascii="宋体" w:hAnsi="宋体" w:eastAsia="宋体" w:cs="宋体"/>
          <w:bCs/>
          <w:sz w:val="21"/>
          <w:szCs w:val="21"/>
          <w:lang w:val="en-US" w:eastAsia="zh-CN" w:bidi="ar-SA"/>
        </w:rPr>
        <w:t>否</w:t>
      </w:r>
    </w:p>
    <w:p w14:paraId="7169E504">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宋体"/>
          <w:bCs/>
          <w:snapToGrid/>
          <w:kern w:val="2"/>
          <w:szCs w:val="21"/>
          <w:u w:val="single"/>
          <w:lang w:eastAsia="zh-CN"/>
        </w:rPr>
      </w:pPr>
      <w:r>
        <w:rPr>
          <w:rFonts w:hint="eastAsia" w:ascii="宋体" w:hAnsi="宋体" w:eastAsia="宋体" w:cs="宋体"/>
          <w:bCs/>
          <w:snapToGrid/>
          <w:kern w:val="2"/>
          <w:szCs w:val="21"/>
          <w:lang w:eastAsia="zh-CN"/>
        </w:rPr>
        <w:t>（8）履约验收其他事项：</w:t>
      </w:r>
      <w:r>
        <w:rPr>
          <w:rFonts w:hint="eastAsia" w:ascii="宋体" w:hAnsi="宋体" w:eastAsia="宋体" w:cs="宋体"/>
          <w:bCs/>
          <w:snapToGrid/>
          <w:kern w:val="2"/>
          <w:szCs w:val="21"/>
          <w:u w:val="single"/>
          <w:lang w:eastAsia="zh-CN"/>
        </w:rPr>
        <w:t xml:space="preserve">      </w:t>
      </w:r>
      <w:r>
        <w:rPr>
          <w:rFonts w:hint="eastAsia" w:ascii="宋体" w:hAnsi="宋体" w:eastAsia="宋体" w:cs="宋体"/>
          <w:bCs/>
          <w:i w:val="0"/>
          <w:iCs w:val="0"/>
          <w:snapToGrid/>
          <w:kern w:val="2"/>
          <w:szCs w:val="21"/>
          <w:u w:val="single"/>
          <w:lang w:eastAsia="zh-CN"/>
        </w:rPr>
        <w:t>（产权过户登记等）</w:t>
      </w:r>
      <w:r>
        <w:rPr>
          <w:rFonts w:hint="eastAsia" w:ascii="宋体" w:hAnsi="宋体" w:eastAsia="宋体" w:cs="宋体"/>
          <w:bCs/>
          <w:snapToGrid/>
          <w:kern w:val="2"/>
          <w:szCs w:val="21"/>
          <w:u w:val="single"/>
          <w:lang w:eastAsia="zh-CN"/>
        </w:rPr>
        <w:t xml:space="preserve">          </w:t>
      </w:r>
    </w:p>
    <w:p w14:paraId="4B23E584">
      <w:pPr>
        <w:widowControl w:val="0"/>
        <w:numPr>
          <w:ilvl w:val="0"/>
          <w:numId w:val="1"/>
        </w:numPr>
        <w:kinsoku/>
        <w:autoSpaceDE/>
        <w:autoSpaceDN/>
        <w:adjustRightInd w:val="0"/>
        <w:snapToGrid w:val="0"/>
        <w:spacing w:before="0" w:beforeLines="0" w:line="400" w:lineRule="exact"/>
        <w:ind w:firstLine="422" w:firstLineChars="200"/>
        <w:jc w:val="both"/>
        <w:textAlignment w:val="auto"/>
        <w:rPr>
          <w:rFonts w:hint="eastAsia"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组成合同的文件</w:t>
      </w:r>
    </w:p>
    <w:p w14:paraId="3550C4A3">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本协议书与下列文件一起构成合同文件，如下述文件之间有任何抵触、矛盾或歧义，应按以下顺序解释：</w:t>
      </w:r>
    </w:p>
    <w:p w14:paraId="1082124D">
      <w:pPr>
        <w:widowControl w:val="0"/>
        <w:kinsoku/>
        <w:autoSpaceDE/>
        <w:autoSpaceDN/>
        <w:adjustRightInd w:val="0"/>
        <w:snapToGrid w:val="0"/>
        <w:spacing w:before="0" w:beforeLines="0" w:line="400" w:lineRule="exact"/>
        <w:ind w:firstLine="420" w:firstLineChars="200"/>
        <w:jc w:val="both"/>
        <w:textAlignment w:val="auto"/>
        <w:rPr>
          <w:rFonts w:hint="eastAsia"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（1）政府采购合同协议书及其变更、补充协议</w:t>
      </w:r>
    </w:p>
    <w:p w14:paraId="2147DF50">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w:t>
      </w:r>
      <w:r>
        <w:rPr>
          <w:rFonts w:hint="eastAsia" w:ascii="宋体" w:hAnsi="宋体" w:eastAsia="宋体" w:cs="Times New Roman"/>
          <w:snapToGrid/>
          <w:kern w:val="2"/>
          <w:szCs w:val="21"/>
          <w:lang w:val="en-US" w:eastAsia="zh-CN"/>
        </w:rPr>
        <w:t>2</w:t>
      </w:r>
      <w:r>
        <w:rPr>
          <w:rFonts w:hint="eastAsia" w:ascii="宋体" w:hAnsi="宋体" w:eastAsia="宋体" w:cs="Times New Roman"/>
          <w:snapToGrid/>
          <w:kern w:val="2"/>
          <w:szCs w:val="21"/>
          <w:lang w:eastAsia="zh-CN"/>
        </w:rPr>
        <w:t>）政府采购合同专用条款</w:t>
      </w:r>
    </w:p>
    <w:p w14:paraId="62BF873E">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w:t>
      </w:r>
      <w:r>
        <w:rPr>
          <w:rFonts w:hint="eastAsia" w:ascii="宋体" w:hAnsi="宋体" w:eastAsia="宋体" w:cs="Times New Roman"/>
          <w:snapToGrid/>
          <w:kern w:val="2"/>
          <w:szCs w:val="21"/>
          <w:lang w:val="en-US" w:eastAsia="zh-CN"/>
        </w:rPr>
        <w:t>3</w:t>
      </w:r>
      <w:r>
        <w:rPr>
          <w:rFonts w:hint="eastAsia" w:ascii="宋体" w:hAnsi="宋体" w:eastAsia="宋体" w:cs="Times New Roman"/>
          <w:snapToGrid/>
          <w:kern w:val="2"/>
          <w:szCs w:val="21"/>
          <w:lang w:eastAsia="zh-CN"/>
        </w:rPr>
        <w:t>）政府采购合同通用条款</w:t>
      </w:r>
    </w:p>
    <w:p w14:paraId="6223FBE8">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color w:val="auto"/>
          <w:kern w:val="2"/>
          <w:szCs w:val="21"/>
          <w:lang w:eastAsia="zh-CN"/>
        </w:rPr>
      </w:pPr>
      <w:r>
        <w:rPr>
          <w:rFonts w:hint="eastAsia" w:ascii="宋体" w:hAnsi="宋体" w:eastAsia="宋体" w:cs="Times New Roman"/>
          <w:snapToGrid/>
          <w:color w:val="auto"/>
          <w:kern w:val="2"/>
          <w:szCs w:val="21"/>
          <w:lang w:eastAsia="zh-CN"/>
        </w:rPr>
        <w:t>（</w:t>
      </w:r>
      <w:r>
        <w:rPr>
          <w:rFonts w:hint="eastAsia" w:ascii="宋体" w:hAnsi="宋体" w:eastAsia="宋体" w:cs="Times New Roman"/>
          <w:snapToGrid/>
          <w:color w:val="auto"/>
          <w:kern w:val="2"/>
          <w:szCs w:val="21"/>
          <w:lang w:val="en-US" w:eastAsia="zh-CN"/>
        </w:rPr>
        <w:t>4</w:t>
      </w:r>
      <w:r>
        <w:rPr>
          <w:rFonts w:hint="eastAsia" w:ascii="宋体" w:hAnsi="宋体" w:eastAsia="宋体" w:cs="Times New Roman"/>
          <w:snapToGrid/>
          <w:color w:val="auto"/>
          <w:kern w:val="2"/>
          <w:szCs w:val="21"/>
          <w:lang w:eastAsia="zh-CN"/>
        </w:rPr>
        <w:t>）中标（成交）通知书</w:t>
      </w:r>
    </w:p>
    <w:p w14:paraId="55AEDE1D">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w:t>
      </w:r>
      <w:r>
        <w:rPr>
          <w:rFonts w:hint="eastAsia" w:ascii="宋体" w:hAnsi="宋体" w:eastAsia="宋体" w:cs="Times New Roman"/>
          <w:snapToGrid/>
          <w:kern w:val="2"/>
          <w:szCs w:val="21"/>
          <w:lang w:val="en-US" w:eastAsia="zh-CN"/>
        </w:rPr>
        <w:t>5</w:t>
      </w:r>
      <w:r>
        <w:rPr>
          <w:rFonts w:hint="eastAsia" w:ascii="宋体" w:hAnsi="宋体" w:eastAsia="宋体" w:cs="Times New Roman"/>
          <w:snapToGrid/>
          <w:kern w:val="2"/>
          <w:szCs w:val="21"/>
          <w:lang w:eastAsia="zh-CN"/>
        </w:rPr>
        <w:t>）投标（响应）文件</w:t>
      </w:r>
    </w:p>
    <w:p w14:paraId="62842C53">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（6）采购文件</w:t>
      </w:r>
    </w:p>
    <w:p w14:paraId="72872932">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（7）有关技术文件，图纸</w:t>
      </w:r>
    </w:p>
    <w:p w14:paraId="4E57841E">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174A6965">
      <w:pPr>
        <w:widowControl w:val="0"/>
        <w:numPr>
          <w:ilvl w:val="0"/>
          <w:numId w:val="1"/>
        </w:numPr>
        <w:kinsoku/>
        <w:autoSpaceDE/>
        <w:autoSpaceDN/>
        <w:adjustRightInd w:val="0"/>
        <w:snapToGrid w:val="0"/>
        <w:spacing w:before="0" w:beforeLines="0" w:line="400" w:lineRule="exact"/>
        <w:ind w:firstLine="422" w:firstLineChars="200"/>
        <w:jc w:val="both"/>
        <w:textAlignment w:val="auto"/>
        <w:rPr>
          <w:rFonts w:hint="eastAsia"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合同生效</w:t>
      </w:r>
    </w:p>
    <w:p w14:paraId="0FCF5DF6">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本合同自</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lang w:eastAsia="zh-CN"/>
        </w:rPr>
        <w:t>生效。</w:t>
      </w:r>
    </w:p>
    <w:p w14:paraId="616A0D21">
      <w:pPr>
        <w:widowControl w:val="0"/>
        <w:numPr>
          <w:ilvl w:val="0"/>
          <w:numId w:val="1"/>
        </w:numPr>
        <w:kinsoku/>
        <w:autoSpaceDE/>
        <w:autoSpaceDN/>
        <w:adjustRightInd w:val="0"/>
        <w:snapToGrid w:val="0"/>
        <w:spacing w:before="0" w:beforeLines="0" w:line="400" w:lineRule="exact"/>
        <w:ind w:firstLine="422" w:firstLineChars="200"/>
        <w:jc w:val="both"/>
        <w:textAlignment w:val="auto"/>
        <w:rPr>
          <w:rFonts w:hint="eastAsia" w:ascii="宋体" w:hAnsi="宋体" w:eastAsia="宋体" w:cs="Times New Roman"/>
          <w:b/>
          <w:snapToGrid/>
          <w:kern w:val="2"/>
          <w:szCs w:val="21"/>
          <w:lang w:eastAsia="zh-CN"/>
        </w:rPr>
      </w:pPr>
      <w:r>
        <w:rPr>
          <w:rFonts w:hint="eastAsia" w:ascii="宋体" w:hAnsi="宋体" w:eastAsia="宋体" w:cs="Times New Roman"/>
          <w:b/>
          <w:snapToGrid/>
          <w:kern w:val="2"/>
          <w:szCs w:val="21"/>
          <w:lang w:eastAsia="zh-CN"/>
        </w:rPr>
        <w:t>合同份数</w:t>
      </w:r>
    </w:p>
    <w:p w14:paraId="096F388C">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本合同一式</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lang w:eastAsia="zh-CN"/>
        </w:rPr>
        <w:t>份，甲方执</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u w:val="single"/>
          <w:lang w:val="en-US" w:eastAsia="zh-CN"/>
        </w:rPr>
        <w:t xml:space="preserve"> </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lang w:eastAsia="zh-CN"/>
        </w:rPr>
        <w:t>份，乙方执</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u w:val="single"/>
          <w:lang w:val="en-US" w:eastAsia="zh-CN"/>
        </w:rPr>
        <w:t xml:space="preserve"> </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lang w:eastAsia="zh-CN"/>
        </w:rPr>
        <w:t>份，均具有同等法律效力。</w:t>
      </w:r>
    </w:p>
    <w:p w14:paraId="6A1E7513">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合同订立时间：</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lang w:eastAsia="zh-CN"/>
        </w:rPr>
        <w:t>年</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lang w:eastAsia="zh-CN"/>
        </w:rPr>
        <w:t>月</w:t>
      </w:r>
      <w:r>
        <w:rPr>
          <w:rFonts w:hint="eastAsia" w:ascii="宋体" w:hAnsi="宋体" w:eastAsia="宋体" w:cs="Times New Roman"/>
          <w:snapToGrid/>
          <w:kern w:val="2"/>
          <w:szCs w:val="21"/>
          <w:u w:val="single"/>
          <w:lang w:eastAsia="zh-CN"/>
        </w:rPr>
        <w:t xml:space="preserve">      </w:t>
      </w:r>
      <w:r>
        <w:rPr>
          <w:rFonts w:hint="eastAsia" w:ascii="宋体" w:hAnsi="宋体" w:eastAsia="宋体" w:cs="Times New Roman"/>
          <w:snapToGrid/>
          <w:kern w:val="2"/>
          <w:szCs w:val="21"/>
          <w:lang w:eastAsia="zh-CN"/>
        </w:rPr>
        <w:t>日</w:t>
      </w:r>
    </w:p>
    <w:p w14:paraId="1ED6D322">
      <w:pPr>
        <w:widowControl w:val="0"/>
        <w:kinsoku/>
        <w:autoSpaceDE/>
        <w:autoSpaceDN/>
        <w:adjustRightInd w:val="0"/>
        <w:snapToGrid w:val="0"/>
        <w:spacing w:before="0" w:beforeLines="0" w:line="400" w:lineRule="exact"/>
        <w:ind w:firstLine="420" w:firstLineChars="200"/>
        <w:jc w:val="both"/>
        <w:textAlignment w:val="auto"/>
        <w:rPr>
          <w:rFonts w:ascii="宋体" w:hAnsi="宋体" w:eastAsia="宋体" w:cs="Times New Roman"/>
          <w:snapToGrid/>
          <w:kern w:val="2"/>
          <w:szCs w:val="21"/>
          <w:lang w:eastAsia="zh-CN"/>
        </w:rPr>
      </w:pPr>
      <w:r>
        <w:rPr>
          <w:rFonts w:hint="eastAsia" w:ascii="宋体" w:hAnsi="宋体" w:eastAsia="宋体" w:cs="Times New Roman"/>
          <w:snapToGrid/>
          <w:kern w:val="2"/>
          <w:szCs w:val="21"/>
          <w:lang w:eastAsia="zh-CN"/>
        </w:rPr>
        <w:t>合同订立地点：</w:t>
      </w:r>
      <w:r>
        <w:rPr>
          <w:rFonts w:hint="eastAsia" w:ascii="宋体" w:hAnsi="宋体" w:eastAsia="宋体" w:cs="Times New Roman"/>
          <w:snapToGrid/>
          <w:kern w:val="2"/>
          <w:szCs w:val="21"/>
          <w:u w:val="single"/>
          <w:lang w:eastAsia="zh-CN"/>
        </w:rPr>
        <w:t xml:space="preserve">                           </w:t>
      </w:r>
    </w:p>
    <w:p w14:paraId="1F4F0E6B">
      <w:pPr>
        <w:widowControl w:val="0"/>
        <w:kinsoku/>
        <w:autoSpaceDE/>
        <w:autoSpaceDN/>
        <w:adjustRightInd w:val="0"/>
        <w:snapToGrid w:val="0"/>
        <w:spacing w:before="0" w:beforeLines="0" w:line="400" w:lineRule="exact"/>
        <w:ind w:firstLine="420" w:firstLineChars="200"/>
        <w:jc w:val="both"/>
        <w:textAlignment w:val="auto"/>
        <w:rPr>
          <w:rFonts w:ascii="Times New Roman" w:hAnsi="Times New Roman" w:eastAsia="宋体" w:cs="Times New Roman"/>
          <w:snapToGrid/>
          <w:kern w:val="2"/>
          <w:szCs w:val="24"/>
          <w:lang w:eastAsia="zh-CN"/>
        </w:rPr>
      </w:pPr>
      <w:r>
        <w:rPr>
          <w:rFonts w:hint="eastAsia" w:ascii="宋体" w:hAnsi="宋体" w:eastAsia="宋体" w:cs="Times New Roman"/>
          <w:snapToGrid/>
          <w:kern w:val="2"/>
          <w:szCs w:val="21"/>
          <w:lang w:eastAsia="zh-CN"/>
        </w:rPr>
        <w:t>附件：具体标的及其</w:t>
      </w:r>
      <w:r>
        <w:rPr>
          <w:rFonts w:hint="eastAsia" w:ascii="宋体" w:hAnsi="宋体" w:eastAsia="宋体" w:cs="Times New Roman"/>
          <w:snapToGrid/>
          <w:kern w:val="2"/>
          <w:szCs w:val="21"/>
          <w:highlight w:val="none"/>
          <w:u w:val="none"/>
          <w:lang w:val="en-US" w:eastAsia="zh-CN"/>
        </w:rPr>
        <w:t>技术要求和商务要求</w:t>
      </w:r>
      <w:r>
        <w:rPr>
          <w:rFonts w:hint="eastAsia" w:ascii="宋体" w:hAnsi="宋体" w:eastAsia="宋体" w:cs="Times New Roman"/>
          <w:snapToGrid/>
          <w:kern w:val="2"/>
          <w:szCs w:val="21"/>
          <w:lang w:eastAsia="zh-CN"/>
        </w:rPr>
        <w:t>。</w:t>
      </w:r>
    </w:p>
    <w:p w14:paraId="66E06EB2">
      <w:pPr>
        <w:widowControl w:val="0"/>
        <w:ind w:firstLine="420" w:firstLineChars="200"/>
        <w:jc w:val="both"/>
        <w:rPr>
          <w:rFonts w:hint="eastAsia" w:ascii="Times New Roman" w:hAnsi="Times New Roman" w:eastAsia="宋体" w:cs="Times New Roman"/>
          <w:kern w:val="2"/>
          <w:sz w:val="21"/>
          <w:szCs w:val="21"/>
          <w:lang w:val="en-US" w:eastAsia="zh-CN" w:bidi="ar-SA"/>
        </w:rPr>
      </w:pPr>
    </w:p>
    <w:tbl>
      <w:tblPr>
        <w:tblStyle w:val="14"/>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5"/>
      </w:tblGrid>
      <w:tr w14:paraId="317116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181E42E">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1"/>
                <w:lang w:eastAsia="zh-CN"/>
              </w:rPr>
              <w:t>甲方</w:t>
            </w:r>
            <w:r>
              <w:rPr>
                <w:rFonts w:hint="eastAsia" w:ascii="Times New Roman" w:hAnsi="Times New Roman" w:eastAsia="宋体" w:cs="Times New Roman"/>
                <w:snapToGrid/>
                <w:kern w:val="2"/>
                <w:szCs w:val="21"/>
                <w:lang w:eastAsia="zh-CN"/>
              </w:rPr>
              <w:t>（采购人）</w:t>
            </w:r>
          </w:p>
        </w:tc>
        <w:tc>
          <w:tcPr>
            <w:tcW w:w="2437" w:type="pct"/>
            <w:gridSpan w:val="2"/>
            <w:tcBorders>
              <w:left w:val="single" w:color="auto" w:sz="2" w:space="0"/>
              <w:bottom w:val="single" w:color="auto" w:sz="2" w:space="0"/>
            </w:tcBorders>
            <w:vAlign w:val="center"/>
          </w:tcPr>
          <w:p w14:paraId="5F4D0A4C">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4"/>
                <w:lang w:eastAsia="zh-CN"/>
              </w:rPr>
            </w:pPr>
            <w:r>
              <w:rPr>
                <w:rFonts w:ascii="Times New Roman" w:hAnsi="Times New Roman" w:eastAsia="宋体" w:cs="Times New Roman"/>
                <w:snapToGrid/>
                <w:kern w:val="2"/>
                <w:szCs w:val="21"/>
                <w:lang w:eastAsia="zh-CN"/>
              </w:rPr>
              <w:t>乙方</w:t>
            </w:r>
            <w:r>
              <w:rPr>
                <w:rFonts w:hint="eastAsia" w:ascii="Times New Roman" w:hAnsi="Times New Roman" w:eastAsia="宋体" w:cs="Times New Roman"/>
                <w:snapToGrid/>
                <w:kern w:val="2"/>
                <w:szCs w:val="21"/>
                <w:lang w:eastAsia="zh-CN"/>
              </w:rPr>
              <w:t>（供应商）</w:t>
            </w:r>
          </w:p>
        </w:tc>
      </w:tr>
      <w:tr w14:paraId="511066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9D40E73">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单位名称</w:t>
            </w:r>
            <w:r>
              <w:rPr>
                <w:rFonts w:hint="eastAsia" w:ascii="Times New Roman" w:hAnsi="Times New Roman" w:eastAsia="宋体" w:cs="Times New Roman"/>
                <w:snapToGrid/>
                <w:kern w:val="2"/>
                <w:szCs w:val="21"/>
                <w:lang w:eastAsia="zh-CN"/>
              </w:rPr>
              <w:t>（公章或合同章）</w:t>
            </w:r>
          </w:p>
        </w:tc>
        <w:tc>
          <w:tcPr>
            <w:tcW w:w="1435" w:type="pct"/>
            <w:tcBorders>
              <w:top w:val="single" w:color="auto" w:sz="2" w:space="0"/>
              <w:left w:val="single" w:color="auto" w:sz="2" w:space="0"/>
              <w:bottom w:val="single" w:color="auto" w:sz="2" w:space="0"/>
              <w:right w:val="single" w:color="auto" w:sz="2" w:space="0"/>
            </w:tcBorders>
            <w:vAlign w:val="center"/>
          </w:tcPr>
          <w:p w14:paraId="4378192E">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630B8120">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单位名称</w:t>
            </w:r>
            <w:r>
              <w:rPr>
                <w:rFonts w:hint="eastAsia" w:ascii="Times New Roman" w:hAnsi="Times New Roman" w:eastAsia="宋体" w:cs="Times New Roman"/>
                <w:snapToGrid/>
                <w:kern w:val="2"/>
                <w:szCs w:val="21"/>
                <w:lang w:eastAsia="zh-CN"/>
              </w:rPr>
              <w:t>（公章或合同章）</w:t>
            </w:r>
          </w:p>
        </w:tc>
        <w:tc>
          <w:tcPr>
            <w:tcW w:w="1259" w:type="pct"/>
            <w:tcBorders>
              <w:top w:val="single" w:color="auto" w:sz="2" w:space="0"/>
              <w:left w:val="single" w:color="auto" w:sz="2" w:space="0"/>
              <w:bottom w:val="single" w:color="auto" w:sz="2" w:space="0"/>
            </w:tcBorders>
            <w:vAlign w:val="center"/>
          </w:tcPr>
          <w:p w14:paraId="7529D3B6">
            <w:pPr>
              <w:widowControl w:val="0"/>
              <w:kinsoku/>
              <w:autoSpaceDE/>
              <w:autoSpaceDN/>
              <w:adjustRightInd w:val="0"/>
              <w:snapToGrid w:val="0"/>
              <w:spacing w:line="300" w:lineRule="exact"/>
              <w:jc w:val="center"/>
              <w:textAlignment w:val="auto"/>
              <w:rPr>
                <w:rFonts w:ascii="Times New Roman" w:hAnsi="Times New Roman" w:eastAsia="宋体" w:cs="Times New Roman"/>
                <w:snapToGrid/>
                <w:spacing w:val="20"/>
                <w:kern w:val="2"/>
                <w:szCs w:val="21"/>
                <w:lang w:eastAsia="zh-CN"/>
              </w:rPr>
            </w:pPr>
          </w:p>
        </w:tc>
      </w:tr>
      <w:tr w14:paraId="22FF04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C1BD255">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法定代表人</w:t>
            </w:r>
          </w:p>
          <w:p w14:paraId="4A59C030">
            <w:pPr>
              <w:widowControl w:val="0"/>
              <w:kinsoku/>
              <w:autoSpaceDE/>
              <w:autoSpaceDN/>
              <w:adjustRightInd w:val="0"/>
              <w:snapToGrid w:val="0"/>
              <w:spacing w:line="300" w:lineRule="exact"/>
              <w:ind w:firstLine="100" w:firstLineChars="48"/>
              <w:jc w:val="center"/>
              <w:textAlignment w:val="auto"/>
              <w:rPr>
                <w:rFonts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或其</w:t>
            </w:r>
            <w:r>
              <w:rPr>
                <w:rFonts w:ascii="Times New Roman" w:hAnsi="Times New Roman" w:eastAsia="宋体" w:cs="Times New Roman"/>
                <w:snapToGrid/>
                <w:kern w:val="2"/>
                <w:szCs w:val="21"/>
                <w:lang w:eastAsia="zh-CN"/>
              </w:rPr>
              <w:t>委托代理人</w:t>
            </w:r>
            <w:r>
              <w:rPr>
                <w:rFonts w:hint="eastAsia" w:ascii="Times New Roman" w:hAnsi="Times New Roman" w:eastAsia="宋体" w:cs="Times New Roman"/>
                <w:snapToGrid/>
                <w:kern w:val="2"/>
                <w:szCs w:val="21"/>
                <w:lang w:eastAsia="zh-CN"/>
              </w:rPr>
              <w:t>（签章）</w:t>
            </w:r>
          </w:p>
        </w:tc>
        <w:tc>
          <w:tcPr>
            <w:tcW w:w="1435" w:type="pct"/>
            <w:vMerge w:val="restart"/>
            <w:tcBorders>
              <w:top w:val="single" w:color="auto" w:sz="2" w:space="0"/>
              <w:left w:val="single" w:color="auto" w:sz="2" w:space="0"/>
              <w:right w:val="single" w:color="auto" w:sz="2" w:space="0"/>
            </w:tcBorders>
            <w:vAlign w:val="center"/>
          </w:tcPr>
          <w:p w14:paraId="0EAF702E">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right w:val="single" w:color="auto" w:sz="2" w:space="0"/>
            </w:tcBorders>
            <w:vAlign w:val="center"/>
          </w:tcPr>
          <w:p w14:paraId="751A24CC">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法定代表人</w:t>
            </w:r>
          </w:p>
          <w:p w14:paraId="38D9FA95">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或其</w:t>
            </w:r>
            <w:r>
              <w:rPr>
                <w:rFonts w:ascii="Times New Roman" w:hAnsi="Times New Roman" w:eastAsia="宋体" w:cs="Times New Roman"/>
                <w:snapToGrid/>
                <w:kern w:val="2"/>
                <w:szCs w:val="21"/>
                <w:lang w:eastAsia="zh-CN"/>
              </w:rPr>
              <w:t>委托代理人</w:t>
            </w:r>
            <w:r>
              <w:rPr>
                <w:rFonts w:hint="eastAsia" w:ascii="Times New Roman" w:hAnsi="Times New Roman" w:eastAsia="宋体" w:cs="Times New Roman"/>
                <w:snapToGrid/>
                <w:kern w:val="2"/>
                <w:szCs w:val="21"/>
                <w:lang w:eastAsia="zh-CN"/>
              </w:rPr>
              <w:t>（签章）</w:t>
            </w:r>
          </w:p>
        </w:tc>
        <w:tc>
          <w:tcPr>
            <w:tcW w:w="1259" w:type="pct"/>
            <w:tcBorders>
              <w:top w:val="single" w:color="auto" w:sz="2" w:space="0"/>
              <w:left w:val="single" w:color="auto" w:sz="2" w:space="0"/>
              <w:bottom w:val="single" w:color="auto" w:sz="2" w:space="0"/>
            </w:tcBorders>
            <w:vAlign w:val="center"/>
          </w:tcPr>
          <w:p w14:paraId="5DD3550D">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r>
      <w:tr w14:paraId="508AA3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D76A78D">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435" w:type="pct"/>
            <w:vMerge w:val="continue"/>
            <w:tcBorders>
              <w:left w:val="single" w:color="auto" w:sz="2" w:space="0"/>
              <w:bottom w:val="single" w:color="auto" w:sz="2" w:space="0"/>
              <w:right w:val="single" w:color="auto" w:sz="2" w:space="0"/>
            </w:tcBorders>
            <w:vAlign w:val="center"/>
          </w:tcPr>
          <w:p w14:paraId="312DACE5">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73EE9181">
            <w:pPr>
              <w:widowControl w:val="0"/>
              <w:kinsoku/>
              <w:autoSpaceDE/>
              <w:autoSpaceDN/>
              <w:adjustRightInd w:val="0"/>
              <w:snapToGrid w:val="0"/>
              <w:spacing w:line="300" w:lineRule="exact"/>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693C0DD7">
            <w:pPr>
              <w:widowControl w:val="0"/>
              <w:kinsoku/>
              <w:autoSpaceDE/>
              <w:autoSpaceDN/>
              <w:adjustRightInd w:val="0"/>
              <w:snapToGrid w:val="0"/>
              <w:spacing w:line="300" w:lineRule="exact"/>
              <w:jc w:val="center"/>
              <w:textAlignment w:val="auto"/>
              <w:rPr>
                <w:rFonts w:ascii="Times New Roman" w:hAnsi="Times New Roman" w:eastAsia="宋体" w:cs="Times New Roman"/>
                <w:snapToGrid/>
                <w:spacing w:val="20"/>
                <w:kern w:val="2"/>
                <w:szCs w:val="21"/>
                <w:lang w:eastAsia="zh-CN"/>
              </w:rPr>
            </w:pPr>
          </w:p>
        </w:tc>
      </w:tr>
      <w:tr w14:paraId="17CA17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BBCE8EC">
            <w:pPr>
              <w:widowControl w:val="0"/>
              <w:kinsoku/>
              <w:autoSpaceDE/>
              <w:autoSpaceDN/>
              <w:adjustRightInd w:val="0"/>
              <w:snapToGrid w:val="0"/>
              <w:spacing w:line="300" w:lineRule="exact"/>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住</w:t>
            </w:r>
            <w:r>
              <w:rPr>
                <w:rFonts w:hint="eastAsia" w:ascii="Times New Roman" w:hAnsi="Times New Roman" w:eastAsia="宋体" w:cs="Times New Roman"/>
                <w:snapToGrid/>
                <w:kern w:val="2"/>
                <w:szCs w:val="21"/>
                <w:lang w:val="en-US" w:eastAsia="zh-CN"/>
              </w:rPr>
              <w:t xml:space="preserve">  </w:t>
            </w:r>
            <w:r>
              <w:rPr>
                <w:rFonts w:hint="eastAsia" w:ascii="Times New Roman" w:hAnsi="Times New Roman" w:eastAsia="宋体" w:cs="Times New Roman"/>
                <w:snapToGrid/>
                <w:kern w:val="2"/>
                <w:szCs w:val="21"/>
                <w:lang w:eastAsia="zh-CN"/>
              </w:rPr>
              <w:t>所</w:t>
            </w:r>
          </w:p>
        </w:tc>
        <w:tc>
          <w:tcPr>
            <w:tcW w:w="1435" w:type="pct"/>
            <w:tcBorders>
              <w:top w:val="single" w:color="auto" w:sz="2" w:space="0"/>
              <w:left w:val="single" w:color="auto" w:sz="2" w:space="0"/>
              <w:bottom w:val="single" w:color="auto" w:sz="2" w:space="0"/>
              <w:right w:val="single" w:color="auto" w:sz="2" w:space="0"/>
            </w:tcBorders>
            <w:vAlign w:val="center"/>
          </w:tcPr>
          <w:p w14:paraId="2B7CA131">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102280FF">
            <w:pPr>
              <w:widowControl w:val="0"/>
              <w:kinsoku/>
              <w:autoSpaceDE/>
              <w:autoSpaceDN/>
              <w:adjustRightInd w:val="0"/>
              <w:snapToGrid w:val="0"/>
              <w:spacing w:line="300" w:lineRule="exact"/>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住</w:t>
            </w:r>
            <w:r>
              <w:rPr>
                <w:rFonts w:hint="eastAsia" w:ascii="Times New Roman" w:hAnsi="Times New Roman" w:eastAsia="宋体" w:cs="Times New Roman"/>
                <w:snapToGrid/>
                <w:kern w:val="2"/>
                <w:szCs w:val="21"/>
                <w:lang w:val="en-US" w:eastAsia="zh-CN"/>
              </w:rPr>
              <w:t xml:space="preserve">  </w:t>
            </w:r>
            <w:r>
              <w:rPr>
                <w:rFonts w:hint="eastAsia" w:ascii="Times New Roman" w:hAnsi="Times New Roman" w:eastAsia="宋体" w:cs="Times New Roman"/>
                <w:snapToGrid/>
                <w:kern w:val="2"/>
                <w:szCs w:val="21"/>
                <w:lang w:eastAsia="zh-CN"/>
              </w:rPr>
              <w:t>所</w:t>
            </w:r>
          </w:p>
        </w:tc>
        <w:tc>
          <w:tcPr>
            <w:tcW w:w="1259" w:type="pct"/>
            <w:tcBorders>
              <w:top w:val="single" w:color="auto" w:sz="2" w:space="0"/>
              <w:left w:val="single" w:color="auto" w:sz="2" w:space="0"/>
              <w:bottom w:val="single" w:color="auto" w:sz="2" w:space="0"/>
            </w:tcBorders>
            <w:vAlign w:val="center"/>
          </w:tcPr>
          <w:p w14:paraId="0676F1F5">
            <w:pPr>
              <w:widowControl w:val="0"/>
              <w:kinsoku/>
              <w:autoSpaceDE/>
              <w:autoSpaceDN/>
              <w:adjustRightInd w:val="0"/>
              <w:snapToGrid w:val="0"/>
              <w:spacing w:line="300" w:lineRule="exact"/>
              <w:jc w:val="center"/>
              <w:textAlignment w:val="auto"/>
              <w:rPr>
                <w:rFonts w:ascii="Times New Roman" w:hAnsi="Times New Roman" w:eastAsia="宋体" w:cs="Times New Roman"/>
                <w:snapToGrid/>
                <w:spacing w:val="20"/>
                <w:kern w:val="2"/>
                <w:szCs w:val="21"/>
                <w:lang w:eastAsia="zh-CN"/>
              </w:rPr>
            </w:pPr>
          </w:p>
        </w:tc>
      </w:tr>
      <w:tr w14:paraId="486764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C15AAB3">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联 系 人</w:t>
            </w:r>
          </w:p>
        </w:tc>
        <w:tc>
          <w:tcPr>
            <w:tcW w:w="1435" w:type="pct"/>
            <w:tcBorders>
              <w:top w:val="single" w:color="auto" w:sz="2" w:space="0"/>
              <w:left w:val="single" w:color="auto" w:sz="2" w:space="0"/>
              <w:bottom w:val="single" w:color="auto" w:sz="2" w:space="0"/>
              <w:right w:val="single" w:color="auto" w:sz="2" w:space="0"/>
            </w:tcBorders>
            <w:vAlign w:val="center"/>
          </w:tcPr>
          <w:p w14:paraId="45DC50A0">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0B313A97">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联 系 人</w:t>
            </w:r>
          </w:p>
        </w:tc>
        <w:tc>
          <w:tcPr>
            <w:tcW w:w="1259" w:type="pct"/>
            <w:tcBorders>
              <w:top w:val="single" w:color="auto" w:sz="2" w:space="0"/>
              <w:left w:val="single" w:color="auto" w:sz="2" w:space="0"/>
              <w:bottom w:val="single" w:color="auto" w:sz="2" w:space="0"/>
            </w:tcBorders>
            <w:vAlign w:val="center"/>
          </w:tcPr>
          <w:p w14:paraId="7F1CE159">
            <w:pPr>
              <w:widowControl w:val="0"/>
              <w:kinsoku/>
              <w:autoSpaceDE/>
              <w:autoSpaceDN/>
              <w:adjustRightInd w:val="0"/>
              <w:snapToGrid w:val="0"/>
              <w:spacing w:line="300" w:lineRule="exact"/>
              <w:jc w:val="center"/>
              <w:textAlignment w:val="auto"/>
              <w:rPr>
                <w:rFonts w:ascii="Times New Roman" w:hAnsi="Times New Roman" w:eastAsia="宋体" w:cs="Times New Roman"/>
                <w:snapToGrid/>
                <w:spacing w:val="20"/>
                <w:kern w:val="2"/>
                <w:szCs w:val="21"/>
                <w:lang w:eastAsia="zh-CN"/>
              </w:rPr>
            </w:pPr>
          </w:p>
        </w:tc>
      </w:tr>
      <w:tr w14:paraId="5E78E5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9C16B0">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联系电话</w:t>
            </w:r>
          </w:p>
        </w:tc>
        <w:tc>
          <w:tcPr>
            <w:tcW w:w="1435" w:type="pct"/>
            <w:tcBorders>
              <w:top w:val="single" w:color="auto" w:sz="2" w:space="0"/>
              <w:left w:val="single" w:color="auto" w:sz="2" w:space="0"/>
              <w:bottom w:val="single" w:color="auto" w:sz="2" w:space="0"/>
              <w:right w:val="single" w:color="auto" w:sz="2" w:space="0"/>
            </w:tcBorders>
            <w:vAlign w:val="center"/>
          </w:tcPr>
          <w:p w14:paraId="03590230">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6BC40D66">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联系电话</w:t>
            </w:r>
          </w:p>
        </w:tc>
        <w:tc>
          <w:tcPr>
            <w:tcW w:w="1259" w:type="pct"/>
            <w:tcBorders>
              <w:top w:val="single" w:color="auto" w:sz="2" w:space="0"/>
              <w:left w:val="single" w:color="auto" w:sz="2" w:space="0"/>
              <w:bottom w:val="single" w:color="auto" w:sz="2" w:space="0"/>
            </w:tcBorders>
            <w:vAlign w:val="center"/>
          </w:tcPr>
          <w:p w14:paraId="3F4FD153">
            <w:pPr>
              <w:widowControl w:val="0"/>
              <w:kinsoku/>
              <w:autoSpaceDE/>
              <w:autoSpaceDN/>
              <w:adjustRightInd w:val="0"/>
              <w:snapToGrid w:val="0"/>
              <w:spacing w:line="300" w:lineRule="exact"/>
              <w:jc w:val="center"/>
              <w:textAlignment w:val="auto"/>
              <w:rPr>
                <w:rFonts w:ascii="Times New Roman" w:hAnsi="Times New Roman" w:eastAsia="宋体" w:cs="Times New Roman"/>
                <w:snapToGrid/>
                <w:spacing w:val="20"/>
                <w:kern w:val="2"/>
                <w:szCs w:val="21"/>
                <w:lang w:eastAsia="zh-CN"/>
              </w:rPr>
            </w:pPr>
          </w:p>
        </w:tc>
      </w:tr>
      <w:tr w14:paraId="3D3612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BB9B30">
            <w:pPr>
              <w:widowControl w:val="0"/>
              <w:kinsoku/>
              <w:autoSpaceDE/>
              <w:autoSpaceDN/>
              <w:adjustRightInd w:val="0"/>
              <w:snapToGrid w:val="0"/>
              <w:spacing w:line="300" w:lineRule="exact"/>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通信地址</w:t>
            </w:r>
          </w:p>
        </w:tc>
        <w:tc>
          <w:tcPr>
            <w:tcW w:w="1435" w:type="pct"/>
            <w:tcBorders>
              <w:top w:val="single" w:color="auto" w:sz="2" w:space="0"/>
              <w:left w:val="single" w:color="auto" w:sz="2" w:space="0"/>
              <w:bottom w:val="single" w:color="auto" w:sz="2" w:space="0"/>
              <w:right w:val="single" w:color="auto" w:sz="2" w:space="0"/>
            </w:tcBorders>
            <w:vAlign w:val="center"/>
          </w:tcPr>
          <w:p w14:paraId="58190CAE">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5A15515A">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282797BD">
            <w:pPr>
              <w:widowControl w:val="0"/>
              <w:kinsoku/>
              <w:autoSpaceDE/>
              <w:autoSpaceDN/>
              <w:adjustRightInd w:val="0"/>
              <w:snapToGrid w:val="0"/>
              <w:spacing w:line="300" w:lineRule="exact"/>
              <w:jc w:val="center"/>
              <w:textAlignment w:val="auto"/>
              <w:rPr>
                <w:rFonts w:ascii="Times New Roman" w:hAnsi="Times New Roman" w:eastAsia="宋体" w:cs="Times New Roman"/>
                <w:snapToGrid/>
                <w:spacing w:val="20"/>
                <w:kern w:val="2"/>
                <w:szCs w:val="21"/>
                <w:lang w:eastAsia="zh-CN"/>
              </w:rPr>
            </w:pPr>
          </w:p>
        </w:tc>
      </w:tr>
      <w:tr w14:paraId="7CC68F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E128C2">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邮政编码</w:t>
            </w:r>
          </w:p>
        </w:tc>
        <w:tc>
          <w:tcPr>
            <w:tcW w:w="1435" w:type="pct"/>
            <w:tcBorders>
              <w:top w:val="single" w:color="auto" w:sz="2" w:space="0"/>
              <w:left w:val="single" w:color="auto" w:sz="2" w:space="0"/>
              <w:bottom w:val="single" w:color="auto" w:sz="2" w:space="0"/>
              <w:right w:val="single" w:color="auto" w:sz="2" w:space="0"/>
            </w:tcBorders>
            <w:vAlign w:val="center"/>
          </w:tcPr>
          <w:p w14:paraId="579F3ED7">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2A38A8B0">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邮政编码</w:t>
            </w:r>
          </w:p>
        </w:tc>
        <w:tc>
          <w:tcPr>
            <w:tcW w:w="1259" w:type="pct"/>
            <w:tcBorders>
              <w:top w:val="single" w:color="auto" w:sz="2" w:space="0"/>
              <w:left w:val="single" w:color="auto" w:sz="2" w:space="0"/>
              <w:bottom w:val="single" w:color="auto" w:sz="2" w:space="0"/>
            </w:tcBorders>
            <w:vAlign w:val="center"/>
          </w:tcPr>
          <w:p w14:paraId="757649B0">
            <w:pPr>
              <w:widowControl w:val="0"/>
              <w:kinsoku/>
              <w:autoSpaceDE/>
              <w:autoSpaceDN/>
              <w:adjustRightInd w:val="0"/>
              <w:snapToGrid w:val="0"/>
              <w:spacing w:line="300" w:lineRule="exact"/>
              <w:jc w:val="center"/>
              <w:textAlignment w:val="auto"/>
              <w:rPr>
                <w:rFonts w:ascii="Times New Roman" w:hAnsi="Times New Roman" w:eastAsia="宋体" w:cs="Times New Roman"/>
                <w:snapToGrid/>
                <w:spacing w:val="20"/>
                <w:kern w:val="2"/>
                <w:szCs w:val="21"/>
                <w:lang w:eastAsia="zh-CN"/>
              </w:rPr>
            </w:pPr>
          </w:p>
        </w:tc>
      </w:tr>
      <w:tr w14:paraId="1A242A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B3DD24">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电子邮箱</w:t>
            </w:r>
          </w:p>
        </w:tc>
        <w:tc>
          <w:tcPr>
            <w:tcW w:w="1435" w:type="pct"/>
            <w:tcBorders>
              <w:top w:val="single" w:color="auto" w:sz="2" w:space="0"/>
              <w:left w:val="single" w:color="auto" w:sz="2" w:space="0"/>
              <w:bottom w:val="single" w:color="auto" w:sz="2" w:space="0"/>
              <w:right w:val="single" w:color="auto" w:sz="2" w:space="0"/>
            </w:tcBorders>
            <w:vAlign w:val="center"/>
          </w:tcPr>
          <w:p w14:paraId="4E7AC5A9">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766B921E">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电子邮箱</w:t>
            </w:r>
          </w:p>
        </w:tc>
        <w:tc>
          <w:tcPr>
            <w:tcW w:w="1259" w:type="pct"/>
            <w:tcBorders>
              <w:top w:val="single" w:color="auto" w:sz="2" w:space="0"/>
              <w:left w:val="single" w:color="auto" w:sz="2" w:space="0"/>
              <w:bottom w:val="single" w:color="auto" w:sz="2" w:space="0"/>
            </w:tcBorders>
            <w:vAlign w:val="center"/>
          </w:tcPr>
          <w:p w14:paraId="1FC6792A">
            <w:pPr>
              <w:widowControl w:val="0"/>
              <w:kinsoku/>
              <w:autoSpaceDE/>
              <w:autoSpaceDN/>
              <w:adjustRightInd w:val="0"/>
              <w:snapToGrid w:val="0"/>
              <w:spacing w:line="300" w:lineRule="exact"/>
              <w:jc w:val="center"/>
              <w:textAlignment w:val="auto"/>
              <w:rPr>
                <w:rFonts w:ascii="Times New Roman" w:hAnsi="Times New Roman" w:eastAsia="宋体" w:cs="Times New Roman"/>
                <w:snapToGrid/>
                <w:spacing w:val="20"/>
                <w:kern w:val="2"/>
                <w:szCs w:val="21"/>
                <w:lang w:eastAsia="zh-CN"/>
              </w:rPr>
            </w:pPr>
          </w:p>
        </w:tc>
      </w:tr>
      <w:tr w14:paraId="1FF536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5717610">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统一社会信用代码</w:t>
            </w:r>
          </w:p>
        </w:tc>
        <w:tc>
          <w:tcPr>
            <w:tcW w:w="1435" w:type="pct"/>
            <w:tcBorders>
              <w:top w:val="single" w:color="auto" w:sz="2" w:space="0"/>
              <w:left w:val="single" w:color="auto" w:sz="2" w:space="0"/>
              <w:bottom w:val="single" w:color="auto" w:sz="2" w:space="0"/>
              <w:right w:val="single" w:color="auto" w:sz="2" w:space="0"/>
            </w:tcBorders>
            <w:vAlign w:val="center"/>
          </w:tcPr>
          <w:p w14:paraId="7E54B880">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13317632">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eastAsia="zh-CN"/>
              </w:rPr>
              <w:t>统一社会信用代码</w:t>
            </w:r>
          </w:p>
        </w:tc>
        <w:tc>
          <w:tcPr>
            <w:tcW w:w="1259" w:type="pct"/>
            <w:tcBorders>
              <w:top w:val="single" w:color="auto" w:sz="2" w:space="0"/>
              <w:left w:val="single" w:color="auto" w:sz="2" w:space="0"/>
              <w:bottom w:val="single" w:color="auto" w:sz="2" w:space="0"/>
            </w:tcBorders>
            <w:vAlign w:val="center"/>
          </w:tcPr>
          <w:p w14:paraId="46324FE2">
            <w:pPr>
              <w:widowControl w:val="0"/>
              <w:kinsoku/>
              <w:autoSpaceDE/>
              <w:autoSpaceDN/>
              <w:adjustRightInd w:val="0"/>
              <w:snapToGrid w:val="0"/>
              <w:spacing w:line="300" w:lineRule="exact"/>
              <w:jc w:val="center"/>
              <w:textAlignment w:val="auto"/>
              <w:rPr>
                <w:rFonts w:ascii="Times New Roman" w:hAnsi="Times New Roman" w:eastAsia="宋体" w:cs="Times New Roman"/>
                <w:snapToGrid/>
                <w:spacing w:val="20"/>
                <w:kern w:val="2"/>
                <w:szCs w:val="21"/>
                <w:lang w:eastAsia="zh-CN"/>
              </w:rPr>
            </w:pPr>
          </w:p>
        </w:tc>
      </w:tr>
      <w:tr w14:paraId="192697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B9E2A9">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435" w:type="pct"/>
            <w:tcBorders>
              <w:top w:val="single" w:color="auto" w:sz="2" w:space="0"/>
              <w:left w:val="single" w:color="auto" w:sz="2" w:space="0"/>
              <w:bottom w:val="single" w:color="auto" w:sz="2" w:space="0"/>
              <w:right w:val="single" w:color="auto" w:sz="2" w:space="0"/>
            </w:tcBorders>
            <w:vAlign w:val="center"/>
          </w:tcPr>
          <w:p w14:paraId="304380D6">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436E08CB">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开户名称</w:t>
            </w:r>
          </w:p>
        </w:tc>
        <w:tc>
          <w:tcPr>
            <w:tcW w:w="1259" w:type="pct"/>
            <w:tcBorders>
              <w:top w:val="single" w:color="auto" w:sz="2" w:space="0"/>
              <w:left w:val="single" w:color="auto" w:sz="2" w:space="0"/>
              <w:bottom w:val="single" w:color="auto" w:sz="2" w:space="0"/>
            </w:tcBorders>
            <w:vAlign w:val="center"/>
          </w:tcPr>
          <w:p w14:paraId="7D03D515">
            <w:pPr>
              <w:widowControl w:val="0"/>
              <w:kinsoku/>
              <w:autoSpaceDE/>
              <w:autoSpaceDN/>
              <w:adjustRightInd w:val="0"/>
              <w:snapToGrid w:val="0"/>
              <w:spacing w:line="300" w:lineRule="exact"/>
              <w:jc w:val="center"/>
              <w:textAlignment w:val="auto"/>
              <w:rPr>
                <w:rFonts w:ascii="Times New Roman" w:hAnsi="Times New Roman" w:eastAsia="宋体" w:cs="Times New Roman"/>
                <w:snapToGrid/>
                <w:spacing w:val="20"/>
                <w:kern w:val="2"/>
                <w:szCs w:val="21"/>
                <w:lang w:eastAsia="zh-CN"/>
              </w:rPr>
            </w:pPr>
          </w:p>
        </w:tc>
      </w:tr>
      <w:tr w14:paraId="47D09F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DED7F1">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435" w:type="pct"/>
            <w:tcBorders>
              <w:top w:val="single" w:color="auto" w:sz="2" w:space="0"/>
              <w:left w:val="single" w:color="auto" w:sz="2" w:space="0"/>
              <w:bottom w:val="single" w:color="auto" w:sz="2" w:space="0"/>
              <w:right w:val="single" w:color="auto" w:sz="2" w:space="0"/>
            </w:tcBorders>
            <w:vAlign w:val="center"/>
          </w:tcPr>
          <w:p w14:paraId="49E50DA4">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5BAE3ED4">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开户银行</w:t>
            </w:r>
          </w:p>
        </w:tc>
        <w:tc>
          <w:tcPr>
            <w:tcW w:w="1259" w:type="pct"/>
            <w:tcBorders>
              <w:top w:val="single" w:color="auto" w:sz="2" w:space="0"/>
              <w:left w:val="single" w:color="auto" w:sz="2" w:space="0"/>
              <w:bottom w:val="single" w:color="auto" w:sz="2" w:space="0"/>
            </w:tcBorders>
            <w:vAlign w:val="center"/>
          </w:tcPr>
          <w:p w14:paraId="0D5D4981">
            <w:pPr>
              <w:widowControl w:val="0"/>
              <w:kinsoku/>
              <w:autoSpaceDE/>
              <w:autoSpaceDN/>
              <w:adjustRightInd w:val="0"/>
              <w:snapToGrid w:val="0"/>
              <w:spacing w:line="300" w:lineRule="exact"/>
              <w:jc w:val="center"/>
              <w:textAlignment w:val="auto"/>
              <w:rPr>
                <w:rFonts w:ascii="Times New Roman" w:hAnsi="Times New Roman" w:eastAsia="宋体" w:cs="Times New Roman"/>
                <w:snapToGrid/>
                <w:spacing w:val="20"/>
                <w:kern w:val="2"/>
                <w:szCs w:val="21"/>
                <w:lang w:eastAsia="zh-CN"/>
              </w:rPr>
            </w:pPr>
          </w:p>
        </w:tc>
      </w:tr>
      <w:tr w14:paraId="79A6CC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DA22AF">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435" w:type="pct"/>
            <w:tcBorders>
              <w:top w:val="single" w:color="auto" w:sz="2" w:space="0"/>
              <w:left w:val="single" w:color="auto" w:sz="2" w:space="0"/>
              <w:bottom w:val="single" w:color="auto" w:sz="2" w:space="0"/>
              <w:right w:val="single" w:color="auto" w:sz="2" w:space="0"/>
            </w:tcBorders>
            <w:vAlign w:val="center"/>
          </w:tcPr>
          <w:p w14:paraId="167F39C8">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p>
        </w:tc>
        <w:tc>
          <w:tcPr>
            <w:tcW w:w="1178" w:type="pct"/>
            <w:tcBorders>
              <w:top w:val="single" w:color="auto" w:sz="2" w:space="0"/>
              <w:left w:val="single" w:color="auto" w:sz="2" w:space="0"/>
              <w:bottom w:val="single" w:color="auto" w:sz="2" w:space="0"/>
              <w:right w:val="single" w:color="auto" w:sz="2" w:space="0"/>
            </w:tcBorders>
            <w:vAlign w:val="center"/>
          </w:tcPr>
          <w:p w14:paraId="56A2CEE4">
            <w:pPr>
              <w:widowControl w:val="0"/>
              <w:kinsoku/>
              <w:autoSpaceDE/>
              <w:autoSpaceDN/>
              <w:adjustRightInd w:val="0"/>
              <w:snapToGrid w:val="0"/>
              <w:spacing w:line="300" w:lineRule="exact"/>
              <w:jc w:val="center"/>
              <w:textAlignment w:val="auto"/>
              <w:rPr>
                <w:rFonts w:ascii="Times New Roman" w:hAnsi="Times New Roman" w:eastAsia="宋体" w:cs="Times New Roman"/>
                <w:snapToGrid/>
                <w:kern w:val="2"/>
                <w:szCs w:val="21"/>
                <w:lang w:eastAsia="zh-CN"/>
              </w:rPr>
            </w:pPr>
            <w:r>
              <w:rPr>
                <w:rFonts w:ascii="Times New Roman" w:hAnsi="Times New Roman" w:eastAsia="宋体" w:cs="Times New Roman"/>
                <w:snapToGrid/>
                <w:kern w:val="2"/>
                <w:szCs w:val="21"/>
                <w:lang w:eastAsia="zh-CN"/>
              </w:rPr>
              <w:t>银行账号</w:t>
            </w:r>
          </w:p>
        </w:tc>
        <w:tc>
          <w:tcPr>
            <w:tcW w:w="1259" w:type="pct"/>
            <w:tcBorders>
              <w:top w:val="single" w:color="auto" w:sz="2" w:space="0"/>
              <w:left w:val="single" w:color="auto" w:sz="2" w:space="0"/>
              <w:bottom w:val="single" w:color="auto" w:sz="2" w:space="0"/>
            </w:tcBorders>
            <w:vAlign w:val="center"/>
          </w:tcPr>
          <w:p w14:paraId="7FA8C9CD">
            <w:pPr>
              <w:widowControl w:val="0"/>
              <w:kinsoku/>
              <w:autoSpaceDE/>
              <w:autoSpaceDN/>
              <w:adjustRightInd w:val="0"/>
              <w:snapToGrid w:val="0"/>
              <w:spacing w:line="300" w:lineRule="exact"/>
              <w:jc w:val="center"/>
              <w:textAlignment w:val="auto"/>
              <w:rPr>
                <w:rFonts w:ascii="Times New Roman" w:hAnsi="Times New Roman" w:eastAsia="宋体" w:cs="Times New Roman"/>
                <w:snapToGrid/>
                <w:spacing w:val="20"/>
                <w:kern w:val="2"/>
                <w:szCs w:val="21"/>
                <w:lang w:eastAsia="zh-CN"/>
              </w:rPr>
            </w:pPr>
          </w:p>
        </w:tc>
      </w:tr>
    </w:tbl>
    <w:p w14:paraId="149B1325">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2147483648" w:afterAutospacing="0" w:line="360" w:lineRule="auto"/>
        <w:jc w:val="center"/>
        <w:textAlignment w:val="auto"/>
        <w:outlineLvl w:val="1"/>
        <w:rPr>
          <w:rFonts w:ascii="黑体" w:hAnsi="黑体" w:eastAsia="黑体" w:cs="Times New Roman"/>
          <w:b/>
          <w:bCs/>
          <w:kern w:val="2"/>
          <w:sz w:val="28"/>
          <w:szCs w:val="28"/>
          <w:lang w:val="en-US" w:eastAsia="zh-CN" w:bidi="ar-SA"/>
        </w:rPr>
      </w:pPr>
      <w:r>
        <w:rPr>
          <w:rFonts w:ascii="宋体" w:hAnsi="宋体" w:eastAsia="宋体" w:cs="Times New Roman"/>
          <w:b/>
          <w:bCs/>
          <w:kern w:val="2"/>
          <w:sz w:val="21"/>
          <w:szCs w:val="21"/>
          <w:u w:val="single"/>
          <w:lang w:val="en-US" w:eastAsia="zh-CN" w:bidi="ar-SA"/>
        </w:rPr>
        <w:br w:type="page"/>
      </w:r>
      <w:bookmarkStart w:id="137" w:name="_Toc10125"/>
      <w:bookmarkStart w:id="138" w:name="_Toc9281"/>
      <w:bookmarkStart w:id="139" w:name="_Toc27624"/>
      <w:r>
        <w:rPr>
          <w:rFonts w:hint="eastAsia" w:ascii="宋体" w:hAnsi="宋体" w:eastAsia="宋体" w:cs="宋体"/>
          <w:b/>
          <w:bCs/>
          <w:snapToGrid/>
          <w:kern w:val="2"/>
          <w:sz w:val="24"/>
          <w:szCs w:val="24"/>
          <w:lang w:val="en-US" w:eastAsia="zh-CN"/>
        </w:rPr>
        <w:t>第二节 政府采购合同通用条款</w:t>
      </w:r>
      <w:bookmarkEnd w:id="137"/>
      <w:bookmarkEnd w:id="138"/>
      <w:bookmarkEnd w:id="139"/>
    </w:p>
    <w:p w14:paraId="1B93E7BE">
      <w:pPr>
        <w:widowControl w:val="0"/>
        <w:tabs>
          <w:tab w:val="left" w:pos="8820"/>
          <w:tab w:val="left" w:pos="9345"/>
          <w:tab w:val="left" w:pos="9765"/>
        </w:tabs>
        <w:kinsoku/>
        <w:autoSpaceDE/>
        <w:autoSpaceDN/>
        <w:adjustRightInd w:val="0"/>
        <w:snapToGrid w:val="0"/>
        <w:spacing w:before="0" w:line="400" w:lineRule="exact"/>
        <w:jc w:val="left"/>
        <w:textAlignment w:val="auto"/>
        <w:rPr>
          <w:rFonts w:ascii="宋体" w:hAnsi="宋体" w:eastAsia="宋体" w:cs="Times New Roman"/>
          <w:b/>
          <w:bCs/>
          <w:snapToGrid/>
          <w:kern w:val="2"/>
          <w:sz w:val="24"/>
          <w:szCs w:val="24"/>
          <w:lang w:eastAsia="zh-CN"/>
        </w:rPr>
      </w:pPr>
      <w:r>
        <w:rPr>
          <w:rFonts w:hint="eastAsia" w:ascii="宋体" w:hAnsi="宋体" w:eastAsia="宋体" w:cs="Times New Roman"/>
          <w:b/>
          <w:snapToGrid/>
          <w:kern w:val="2"/>
          <w:sz w:val="24"/>
          <w:szCs w:val="24"/>
          <w:lang w:eastAsia="zh-CN"/>
        </w:rPr>
        <w:t>1.</w:t>
      </w:r>
      <w:r>
        <w:rPr>
          <w:rFonts w:hint="eastAsia" w:ascii="宋体" w:hAnsi="宋体" w:eastAsia="宋体" w:cs="Times New Roman"/>
          <w:b/>
          <w:snapToGrid/>
          <w:kern w:val="2"/>
          <w:sz w:val="24"/>
          <w:szCs w:val="24"/>
          <w:lang w:val="en-US" w:eastAsia="zh-CN"/>
        </w:rPr>
        <w:t xml:space="preserve"> </w:t>
      </w:r>
      <w:r>
        <w:rPr>
          <w:rFonts w:hint="eastAsia" w:ascii="宋体" w:hAnsi="宋体" w:eastAsia="宋体" w:cs="Times New Roman"/>
          <w:b/>
          <w:bCs/>
          <w:snapToGrid/>
          <w:kern w:val="2"/>
          <w:sz w:val="24"/>
          <w:szCs w:val="24"/>
          <w:lang w:eastAsia="zh-CN"/>
        </w:rPr>
        <w:t>定义</w:t>
      </w:r>
    </w:p>
    <w:p w14:paraId="3FF907DD">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1.1合同当事人</w:t>
      </w:r>
    </w:p>
    <w:p w14:paraId="6C842D8F">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（1）采购人（以下称甲方）是指使用财政性资金，通过政府采购方式向供应商购买货物</w:t>
      </w:r>
      <w:r>
        <w:rPr>
          <w:rFonts w:hint="eastAsia" w:ascii="宋体" w:hAnsi="宋体" w:eastAsia="宋体" w:cs="Times New Roman"/>
          <w:snapToGrid/>
          <w:color w:val="auto"/>
          <w:kern w:val="2"/>
          <w:szCs w:val="21"/>
          <w:highlight w:val="none"/>
          <w:lang w:val="en-US" w:eastAsia="zh-CN"/>
        </w:rPr>
        <w:t>及其相关服务的</w:t>
      </w:r>
      <w:r>
        <w:rPr>
          <w:rFonts w:hint="eastAsia" w:ascii="宋体" w:hAnsi="宋体" w:eastAsia="宋体" w:cs="Times New Roman"/>
          <w:snapToGrid/>
          <w:color w:val="auto"/>
          <w:kern w:val="2"/>
          <w:szCs w:val="21"/>
          <w:highlight w:val="none"/>
          <w:lang w:eastAsia="zh-CN"/>
        </w:rPr>
        <w:t>国家机关、事业单位、团体组织。</w:t>
      </w:r>
    </w:p>
    <w:p w14:paraId="773E0571">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（2）供应商（以下称乙方）是指参加政府采购活动并且中标（成交），向采购人提供</w:t>
      </w:r>
      <w:r>
        <w:rPr>
          <w:rFonts w:hint="eastAsia" w:ascii="宋体" w:hAnsi="宋体" w:eastAsia="宋体" w:cs="Times New Roman"/>
          <w:snapToGrid/>
          <w:color w:val="auto"/>
          <w:kern w:val="2"/>
          <w:szCs w:val="21"/>
          <w:highlight w:val="none"/>
          <w:lang w:val="en-US" w:eastAsia="zh-CN"/>
        </w:rPr>
        <w:t>合同约定的货物及其相关服务的法人、非法人组织或者自然人</w:t>
      </w:r>
      <w:r>
        <w:rPr>
          <w:rFonts w:hint="eastAsia" w:ascii="宋体" w:hAnsi="宋体" w:eastAsia="宋体" w:cs="Times New Roman"/>
          <w:snapToGrid/>
          <w:color w:val="auto"/>
          <w:kern w:val="2"/>
          <w:szCs w:val="21"/>
          <w:highlight w:val="none"/>
          <w:lang w:eastAsia="zh-CN"/>
        </w:rPr>
        <w:t>。</w:t>
      </w:r>
    </w:p>
    <w:p w14:paraId="581341E5">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（3）其他合同主体是指除采购人和供应商以外，</w:t>
      </w:r>
      <w:r>
        <w:rPr>
          <w:rFonts w:hint="eastAsia" w:ascii="宋体" w:hAnsi="宋体" w:eastAsia="宋体" w:cs="宋体"/>
          <w:bCs/>
          <w:snapToGrid/>
          <w:color w:val="000000"/>
          <w:kern w:val="2"/>
          <w:szCs w:val="21"/>
          <w:lang w:eastAsia="zh-CN"/>
        </w:rPr>
        <w:t>依法参与合同缔结或履行，享有权利、承担义务的合同当事人</w:t>
      </w:r>
      <w:r>
        <w:rPr>
          <w:rFonts w:hint="eastAsia" w:ascii="宋体" w:hAnsi="宋体" w:eastAsia="宋体" w:cs="Times New Roman"/>
          <w:snapToGrid/>
          <w:color w:val="auto"/>
          <w:kern w:val="2"/>
          <w:szCs w:val="21"/>
          <w:highlight w:val="none"/>
          <w:lang w:eastAsia="zh-CN"/>
        </w:rPr>
        <w:t>。</w:t>
      </w:r>
    </w:p>
    <w:p w14:paraId="1263C2AC">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1.2本合同下列术语应解释为：</w:t>
      </w:r>
    </w:p>
    <w:p w14:paraId="0933F803">
      <w:pPr>
        <w:widowControl w:val="0"/>
        <w:kinsoku/>
        <w:autoSpaceDE/>
        <w:autoSpaceDN/>
        <w:adjustRightInd w:val="0"/>
        <w:snapToGrid w:val="0"/>
        <w:spacing w:before="0" w:beforeLines="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（1）“合同”系指</w:t>
      </w:r>
      <w:r>
        <w:rPr>
          <w:rFonts w:hint="eastAsia" w:ascii="宋体" w:hAnsi="宋体" w:eastAsia="宋体" w:cs="宋体"/>
          <w:bCs/>
          <w:snapToGrid/>
          <w:color w:val="000000"/>
          <w:kern w:val="2"/>
          <w:szCs w:val="21"/>
          <w:lang w:eastAsia="zh-CN"/>
        </w:rPr>
        <w:t>合同当事人意思表示达成一致的任何协议，包括签署的</w:t>
      </w:r>
      <w:r>
        <w:rPr>
          <w:rFonts w:hint="eastAsia" w:ascii="宋体" w:hAnsi="宋体" w:eastAsia="宋体" w:cs="Times New Roman"/>
          <w:snapToGrid/>
          <w:color w:val="auto"/>
          <w:kern w:val="2"/>
          <w:szCs w:val="21"/>
          <w:lang w:eastAsia="zh-CN"/>
        </w:rPr>
        <w:t>政府采购合同协议书及其变更、补充协议，</w:t>
      </w:r>
      <w:r>
        <w:rPr>
          <w:rFonts w:hint="eastAsia" w:ascii="宋体" w:hAnsi="宋体" w:eastAsia="宋体" w:cs="Times New Roman"/>
          <w:snapToGrid/>
          <w:kern w:val="2"/>
          <w:szCs w:val="21"/>
          <w:lang w:eastAsia="zh-CN"/>
        </w:rPr>
        <w:t>政府采购合同专用条款，政府采购合同通用条款，</w:t>
      </w:r>
      <w:r>
        <w:rPr>
          <w:rFonts w:hint="eastAsia" w:ascii="宋体" w:hAnsi="宋体" w:eastAsia="宋体" w:cs="Times New Roman"/>
          <w:snapToGrid/>
          <w:color w:val="auto"/>
          <w:kern w:val="2"/>
          <w:szCs w:val="21"/>
          <w:lang w:eastAsia="zh-CN"/>
        </w:rPr>
        <w:t>中标（成交）通知书，</w:t>
      </w:r>
      <w:r>
        <w:rPr>
          <w:rFonts w:hint="eastAsia" w:ascii="宋体" w:hAnsi="宋体" w:eastAsia="宋体" w:cs="Times New Roman"/>
          <w:snapToGrid/>
          <w:kern w:val="2"/>
          <w:szCs w:val="21"/>
          <w:lang w:eastAsia="zh-CN"/>
        </w:rPr>
        <w:t>投标（响应）文件，采购文件，有关技术文件和图纸，以及</w:t>
      </w:r>
      <w:r>
        <w:rPr>
          <w:rFonts w:hint="eastAsia" w:ascii="宋体" w:hAnsi="宋体" w:eastAsia="宋体" w:cs="宋体"/>
          <w:bCs w:val="0"/>
          <w:snapToGrid/>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Times New Roman"/>
          <w:snapToGrid/>
          <w:color w:val="auto"/>
          <w:kern w:val="2"/>
          <w:szCs w:val="21"/>
          <w:highlight w:val="none"/>
          <w:lang w:eastAsia="zh-CN"/>
        </w:rPr>
        <w:t>。</w:t>
      </w:r>
    </w:p>
    <w:p w14:paraId="37EC8C3A">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）“合同价</w:t>
      </w:r>
      <w:r>
        <w:rPr>
          <w:rFonts w:hint="eastAsia" w:ascii="宋体" w:hAnsi="宋体" w:eastAsia="宋体" w:cs="Times New Roman"/>
          <w:snapToGrid/>
          <w:color w:val="auto"/>
          <w:kern w:val="2"/>
          <w:szCs w:val="21"/>
          <w:highlight w:val="none"/>
          <w:lang w:val="en-US" w:eastAsia="zh-CN"/>
        </w:rPr>
        <w:t>款</w:t>
      </w:r>
      <w:r>
        <w:rPr>
          <w:rFonts w:hint="eastAsia" w:ascii="宋体" w:hAnsi="宋体" w:eastAsia="宋体" w:cs="Times New Roman"/>
          <w:snapToGrid/>
          <w:color w:val="auto"/>
          <w:kern w:val="2"/>
          <w:szCs w:val="21"/>
          <w:highlight w:val="none"/>
          <w:lang w:eastAsia="zh-CN"/>
        </w:rPr>
        <w:t>”系指根据本合同规定乙方在全面履行合同义务后甲方应支付给乙方的价款。</w:t>
      </w:r>
    </w:p>
    <w:p w14:paraId="218F3B54">
      <w:pPr>
        <w:widowControl w:val="0"/>
        <w:tabs>
          <w:tab w:val="left" w:pos="570"/>
          <w:tab w:val="left" w:pos="9240"/>
          <w:tab w:val="left" w:pos="9555"/>
        </w:tabs>
        <w:kinsoku/>
        <w:autoSpaceDE/>
        <w:autoSpaceDN/>
        <w:adjustRightInd w:val="0"/>
        <w:snapToGrid w:val="0"/>
        <w:spacing w:before="0" w:line="400" w:lineRule="exact"/>
        <w:ind w:firstLine="420" w:firstLineChars="200"/>
        <w:jc w:val="left"/>
        <w:textAlignment w:val="auto"/>
        <w:rPr>
          <w:rFonts w:hint="eastAsia"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3</w:t>
      </w:r>
      <w:r>
        <w:rPr>
          <w:rFonts w:hint="eastAsia" w:ascii="宋体" w:hAnsi="宋体" w:eastAsia="宋体" w:cs="Times New Roman"/>
          <w:snapToGrid/>
          <w:color w:val="auto"/>
          <w:kern w:val="2"/>
          <w:szCs w:val="21"/>
          <w:highlight w:val="none"/>
          <w:lang w:eastAsia="zh-CN"/>
        </w:rPr>
        <w:t>）“货物”系指乙方根据本合同规定须向甲方提供的各种形态和种类的物品，包括原材料、设备、产品（</w:t>
      </w:r>
      <w:r>
        <w:rPr>
          <w:rFonts w:hint="eastAsia" w:ascii="宋体" w:hAnsi="宋体" w:eastAsia="宋体" w:cs="Times New Roman"/>
          <w:snapToGrid/>
          <w:color w:val="000000"/>
          <w:kern w:val="2"/>
          <w:szCs w:val="21"/>
          <w:highlight w:val="none"/>
          <w:lang w:eastAsia="zh-CN"/>
        </w:rPr>
        <w:t>包括软件）及相关的其备品备件、工具、手册及</w:t>
      </w:r>
      <w:r>
        <w:rPr>
          <w:rFonts w:hint="default" w:ascii="宋体" w:hAnsi="宋体" w:eastAsia="宋体" w:cs="Times New Roman"/>
          <w:snapToGrid/>
          <w:color w:val="000000"/>
          <w:kern w:val="2"/>
          <w:szCs w:val="21"/>
          <w:highlight w:val="none"/>
          <w:lang w:val="en" w:eastAsia="zh-CN"/>
        </w:rPr>
        <w:t>其他</w:t>
      </w:r>
      <w:r>
        <w:rPr>
          <w:rFonts w:hint="eastAsia" w:ascii="宋体" w:hAnsi="宋体" w:eastAsia="宋体" w:cs="Times New Roman"/>
          <w:snapToGrid/>
          <w:color w:val="000000"/>
          <w:kern w:val="2"/>
          <w:szCs w:val="21"/>
          <w:highlight w:val="none"/>
          <w:lang w:eastAsia="zh-CN"/>
        </w:rPr>
        <w:t>技术资料和材料等。</w:t>
      </w:r>
    </w:p>
    <w:p w14:paraId="1182184C">
      <w:pPr>
        <w:widowControl w:val="0"/>
        <w:kinsoku/>
        <w:autoSpaceDE/>
        <w:autoSpaceDN/>
        <w:adjustRightInd w:val="0"/>
        <w:snapToGrid w:val="0"/>
        <w:spacing w:before="0" w:line="400" w:lineRule="exact"/>
        <w:ind w:firstLine="420" w:firstLineChars="200"/>
        <w:jc w:val="left"/>
        <w:textAlignment w:val="auto"/>
        <w:rPr>
          <w:rFonts w:hint="eastAsia" w:ascii="宋体" w:hAnsi="宋体" w:eastAsia="宋体" w:cs="Times New Roman"/>
          <w:snapToGrid/>
          <w:color w:val="000000"/>
          <w:kern w:val="2"/>
          <w:szCs w:val="21"/>
          <w:highlight w:val="yellow"/>
          <w:lang w:eastAsia="zh-CN"/>
        </w:rPr>
      </w:pPr>
      <w:r>
        <w:rPr>
          <w:rFonts w:hint="eastAsia" w:ascii="宋体" w:hAnsi="宋体" w:eastAsia="宋体" w:cs="Times New Roman"/>
          <w:snapToGrid/>
          <w:color w:val="000000"/>
          <w:kern w:val="2"/>
          <w:szCs w:val="21"/>
          <w:highlight w:val="none"/>
          <w:lang w:eastAsia="zh-CN"/>
        </w:rPr>
        <w:t>（</w:t>
      </w:r>
      <w:r>
        <w:rPr>
          <w:rFonts w:hint="eastAsia" w:ascii="宋体" w:hAnsi="宋体" w:eastAsia="宋体" w:cs="Times New Roman"/>
          <w:snapToGrid/>
          <w:color w:val="000000"/>
          <w:kern w:val="2"/>
          <w:szCs w:val="21"/>
          <w:highlight w:val="none"/>
          <w:lang w:val="en-US" w:eastAsia="zh-CN"/>
        </w:rPr>
        <w:t>4</w:t>
      </w:r>
      <w:r>
        <w:rPr>
          <w:rFonts w:hint="eastAsia" w:ascii="宋体" w:hAnsi="宋体" w:eastAsia="宋体" w:cs="Times New Roman"/>
          <w:snapToGrid/>
          <w:color w:val="000000"/>
          <w:kern w:val="2"/>
          <w:szCs w:val="21"/>
          <w:highlight w:val="none"/>
          <w:lang w:eastAsia="zh-CN"/>
        </w:rPr>
        <w:t>）“</w:t>
      </w:r>
      <w:r>
        <w:rPr>
          <w:rFonts w:hint="eastAsia" w:ascii="宋体" w:hAnsi="宋体" w:eastAsia="宋体" w:cs="Times New Roman"/>
          <w:snapToGrid/>
          <w:color w:val="auto"/>
          <w:kern w:val="2"/>
          <w:szCs w:val="21"/>
          <w:highlight w:val="none"/>
          <w:lang w:val="en-US" w:eastAsia="zh-CN"/>
        </w:rPr>
        <w:t>相关</w:t>
      </w:r>
      <w:r>
        <w:rPr>
          <w:rFonts w:hint="eastAsia" w:ascii="宋体" w:hAnsi="宋体" w:eastAsia="宋体" w:cs="Times New Roman"/>
          <w:snapToGrid/>
          <w:color w:val="000000"/>
          <w:kern w:val="2"/>
          <w:szCs w:val="21"/>
          <w:highlight w:val="none"/>
          <w:lang w:eastAsia="zh-CN"/>
        </w:rPr>
        <w:t>服务”系指根据合同规定，乙方应提供的</w:t>
      </w:r>
      <w:r>
        <w:rPr>
          <w:rFonts w:hint="eastAsia" w:ascii="宋体" w:hAnsi="宋体" w:eastAsia="宋体" w:cs="Times New Roman"/>
          <w:snapToGrid/>
          <w:color w:val="000000"/>
          <w:kern w:val="2"/>
          <w:szCs w:val="21"/>
          <w:highlight w:val="none"/>
          <w:lang w:val="en-US" w:eastAsia="zh-CN"/>
        </w:rPr>
        <w:t>与货物有关的</w:t>
      </w:r>
      <w:r>
        <w:rPr>
          <w:rFonts w:hint="eastAsia" w:ascii="宋体" w:hAnsi="宋体" w:eastAsia="宋体" w:cs="Times New Roman"/>
          <w:snapToGrid/>
          <w:color w:val="000000"/>
          <w:kern w:val="2"/>
          <w:szCs w:val="21"/>
          <w:highlight w:val="none"/>
          <w:lang w:eastAsia="zh-CN"/>
        </w:rPr>
        <w:t>技术、管理和</w:t>
      </w:r>
      <w:r>
        <w:rPr>
          <w:rFonts w:hint="default" w:ascii="宋体" w:hAnsi="宋体" w:eastAsia="宋体" w:cs="Times New Roman"/>
          <w:snapToGrid/>
          <w:color w:val="000000"/>
          <w:kern w:val="2"/>
          <w:szCs w:val="21"/>
          <w:highlight w:val="none"/>
          <w:lang w:val="en" w:eastAsia="zh-CN"/>
        </w:rPr>
        <w:t>其他</w:t>
      </w:r>
      <w:r>
        <w:rPr>
          <w:rFonts w:hint="eastAsia" w:ascii="宋体" w:hAnsi="宋体" w:eastAsia="宋体" w:cs="Times New Roman"/>
          <w:snapToGrid/>
          <w:color w:val="000000"/>
          <w:kern w:val="2"/>
          <w:szCs w:val="21"/>
          <w:highlight w:val="none"/>
          <w:lang w:eastAsia="zh-CN"/>
        </w:rPr>
        <w:t>服务，包括但不限于：管理和质量保证、运输、保险、检验、现场准备、安装、集成、调试、培训、维修、废弃处置、技术支持等以及合同中规定乙方应承担的</w:t>
      </w:r>
      <w:r>
        <w:rPr>
          <w:rFonts w:hint="default" w:ascii="宋体" w:hAnsi="宋体" w:eastAsia="宋体" w:cs="Times New Roman"/>
          <w:snapToGrid/>
          <w:color w:val="000000"/>
          <w:kern w:val="2"/>
          <w:szCs w:val="21"/>
          <w:highlight w:val="none"/>
          <w:lang w:val="en" w:eastAsia="zh-CN"/>
        </w:rPr>
        <w:t>其他</w:t>
      </w:r>
      <w:r>
        <w:rPr>
          <w:rFonts w:hint="eastAsia" w:ascii="宋体" w:hAnsi="宋体" w:eastAsia="宋体" w:cs="Times New Roman"/>
          <w:snapToGrid/>
          <w:color w:val="000000"/>
          <w:kern w:val="2"/>
          <w:szCs w:val="21"/>
          <w:highlight w:val="none"/>
          <w:lang w:eastAsia="zh-CN"/>
        </w:rPr>
        <w:t>义务。</w:t>
      </w:r>
    </w:p>
    <w:p w14:paraId="2739457E">
      <w:pPr>
        <w:widowControl w:val="0"/>
        <w:kinsoku/>
        <w:autoSpaceDE/>
        <w:autoSpaceDN/>
        <w:adjustRightInd w:val="0"/>
        <w:snapToGrid w:val="0"/>
        <w:spacing w:before="0" w:line="400" w:lineRule="exact"/>
        <w:ind w:firstLine="420" w:firstLineChars="200"/>
        <w:jc w:val="left"/>
        <w:textAlignment w:val="auto"/>
        <w:rPr>
          <w:rFonts w:hint="eastAsia" w:ascii="宋体" w:hAnsi="宋体" w:eastAsia="宋体" w:cs="Times New Roman"/>
          <w:snapToGrid/>
          <w:color w:val="000000"/>
          <w:kern w:val="2"/>
          <w:szCs w:val="21"/>
          <w:highlight w:val="yellow"/>
          <w:lang w:eastAsia="zh-CN"/>
        </w:rPr>
      </w:pPr>
      <w:r>
        <w:rPr>
          <w:rFonts w:hint="eastAsia" w:ascii="宋体" w:hAnsi="宋体" w:eastAsia="宋体" w:cs="Times New Roman"/>
          <w:snapToGrid/>
          <w:color w:val="000000"/>
          <w:kern w:val="2"/>
          <w:szCs w:val="21"/>
          <w:highlight w:val="none"/>
          <w:lang w:eastAsia="zh-CN"/>
        </w:rPr>
        <w:t>（</w:t>
      </w:r>
      <w:r>
        <w:rPr>
          <w:rFonts w:hint="eastAsia" w:ascii="宋体" w:hAnsi="宋体" w:eastAsia="宋体" w:cs="Times New Roman"/>
          <w:snapToGrid/>
          <w:color w:val="000000"/>
          <w:kern w:val="2"/>
          <w:szCs w:val="21"/>
          <w:highlight w:val="none"/>
          <w:lang w:val="en-US" w:eastAsia="zh-CN"/>
        </w:rPr>
        <w:t>5</w:t>
      </w:r>
      <w:r>
        <w:rPr>
          <w:rFonts w:hint="eastAsia" w:ascii="宋体" w:hAnsi="宋体" w:eastAsia="宋体" w:cs="Times New Roman"/>
          <w:snapToGrid/>
          <w:color w:val="000000"/>
          <w:kern w:val="2"/>
          <w:szCs w:val="21"/>
          <w:highlight w:val="none"/>
          <w:lang w:eastAsia="zh-CN"/>
        </w:rPr>
        <w:t>）“分包”系指中标（成交）供应商按采购文件、投标（响应）文件的规定，根据分包意向协议，将中标（成交）项目中的部分履约内容，分给具有相应资质条件的供应商履行合同的行为。</w:t>
      </w:r>
    </w:p>
    <w:p w14:paraId="1BDAE490">
      <w:pPr>
        <w:widowControl w:val="0"/>
        <w:numPr>
          <w:ilvl w:val="0"/>
          <w:numId w:val="4"/>
        </w:numPr>
        <w:kinsoku/>
        <w:autoSpaceDE w:val="0"/>
        <w:autoSpaceDN w:val="0"/>
        <w:adjustRightInd w:val="0"/>
        <w:snapToGrid w:val="0"/>
        <w:spacing w:before="0" w:line="400" w:lineRule="exact"/>
        <w:jc w:val="left"/>
        <w:textAlignment w:val="auto"/>
        <w:rPr>
          <w:rFonts w:ascii="宋体" w:hAnsi="宋体" w:eastAsia="宋体" w:cs="Times New Roman"/>
          <w:b/>
          <w:bCs/>
          <w:snapToGrid/>
          <w:color w:val="000000"/>
          <w:kern w:val="2"/>
          <w:sz w:val="24"/>
          <w:szCs w:val="24"/>
          <w:highlight w:val="none"/>
          <w:lang w:eastAsia="zh-CN"/>
        </w:rPr>
      </w:pPr>
      <w:r>
        <w:rPr>
          <w:rFonts w:hint="eastAsia" w:ascii="宋体" w:hAnsi="宋体" w:eastAsia="宋体" w:cs="Times New Roman"/>
          <w:b/>
          <w:snapToGrid/>
          <w:color w:val="000000"/>
          <w:kern w:val="2"/>
          <w:sz w:val="24"/>
          <w:szCs w:val="24"/>
          <w:highlight w:val="none"/>
          <w:lang w:eastAsia="zh-CN"/>
        </w:rPr>
        <w:t>合同标的及金额</w:t>
      </w:r>
    </w:p>
    <w:p w14:paraId="62607405">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b/>
          <w:bCs/>
          <w:i/>
          <w:iCs/>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2.1 合同标的及金额应与中标（成交）结果一致。乙方为履行本合同而发生的所有费用均应包含在合同价款中，甲方不再另行支付</w:t>
      </w:r>
      <w:r>
        <w:rPr>
          <w:rFonts w:hint="default" w:ascii="宋体" w:hAnsi="宋体" w:eastAsia="宋体" w:cs="Times New Roman"/>
          <w:snapToGrid/>
          <w:color w:val="000000"/>
          <w:kern w:val="2"/>
          <w:szCs w:val="21"/>
          <w:highlight w:val="none"/>
          <w:lang w:val="en" w:eastAsia="zh-CN"/>
        </w:rPr>
        <w:t>其他</w:t>
      </w:r>
      <w:r>
        <w:rPr>
          <w:rFonts w:hint="eastAsia" w:ascii="宋体" w:hAnsi="宋体" w:eastAsia="宋体" w:cs="Times New Roman"/>
          <w:snapToGrid/>
          <w:color w:val="000000"/>
          <w:kern w:val="2"/>
          <w:szCs w:val="21"/>
          <w:highlight w:val="none"/>
          <w:lang w:eastAsia="zh-CN"/>
        </w:rPr>
        <w:t>任何费用。</w:t>
      </w:r>
    </w:p>
    <w:p w14:paraId="168FFCCF">
      <w:pPr>
        <w:widowControl w:val="0"/>
        <w:kinsoku/>
        <w:autoSpaceDE/>
        <w:autoSpaceDN/>
        <w:adjustRightInd w:val="0"/>
        <w:snapToGrid w:val="0"/>
        <w:spacing w:before="0" w:line="400" w:lineRule="exact"/>
        <w:jc w:val="left"/>
        <w:textAlignment w:val="auto"/>
        <w:rPr>
          <w:rFonts w:ascii="宋体" w:hAnsi="宋体" w:eastAsia="宋体" w:cs="Times New Roman"/>
          <w:b/>
          <w:snapToGrid/>
          <w:color w:val="000000"/>
          <w:kern w:val="2"/>
          <w:sz w:val="24"/>
          <w:szCs w:val="24"/>
          <w:highlight w:val="none"/>
          <w:lang w:eastAsia="zh-CN"/>
        </w:rPr>
      </w:pPr>
      <w:r>
        <w:rPr>
          <w:rFonts w:hint="eastAsia" w:ascii="宋体" w:hAnsi="宋体" w:eastAsia="宋体" w:cs="Times New Roman"/>
          <w:b/>
          <w:snapToGrid/>
          <w:color w:val="000000"/>
          <w:kern w:val="2"/>
          <w:sz w:val="24"/>
          <w:szCs w:val="24"/>
          <w:highlight w:val="none"/>
          <w:lang w:eastAsia="zh-CN"/>
        </w:rPr>
        <w:t>3</w:t>
      </w:r>
      <w:r>
        <w:rPr>
          <w:rFonts w:hint="eastAsia" w:ascii="宋体" w:hAnsi="宋体" w:eastAsia="宋体" w:cs="Times New Roman"/>
          <w:b/>
          <w:snapToGrid/>
          <w:color w:val="000000"/>
          <w:kern w:val="2"/>
          <w:sz w:val="24"/>
          <w:szCs w:val="24"/>
          <w:highlight w:val="none"/>
          <w:lang w:val="en-US" w:eastAsia="zh-CN"/>
        </w:rPr>
        <w:t xml:space="preserve">. </w:t>
      </w:r>
      <w:r>
        <w:rPr>
          <w:rFonts w:hint="eastAsia" w:ascii="宋体" w:hAnsi="宋体" w:eastAsia="宋体" w:cs="Times New Roman"/>
          <w:b/>
          <w:snapToGrid/>
          <w:color w:val="000000"/>
          <w:kern w:val="2"/>
          <w:sz w:val="24"/>
          <w:szCs w:val="24"/>
          <w:highlight w:val="none"/>
          <w:lang w:eastAsia="zh-CN"/>
        </w:rPr>
        <w:t>履行合同的时间、地点和方式</w:t>
      </w:r>
    </w:p>
    <w:p w14:paraId="28A7A577">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 xml:space="preserve">3.1 </w:t>
      </w:r>
      <w:r>
        <w:rPr>
          <w:rFonts w:hint="eastAsia" w:ascii="宋体" w:hAnsi="宋体" w:eastAsia="宋体" w:cs="宋体"/>
          <w:snapToGrid/>
          <w:kern w:val="2"/>
          <w:szCs w:val="21"/>
          <w:lang w:eastAsia="zh-CN"/>
        </w:rPr>
        <w:t>乙方应当在约定的时间、地点，按照约定方式履行合同。</w:t>
      </w:r>
    </w:p>
    <w:p w14:paraId="06618FA2">
      <w:pPr>
        <w:widowControl w:val="0"/>
        <w:kinsoku/>
        <w:autoSpaceDE w:val="0"/>
        <w:autoSpaceDN w:val="0"/>
        <w:adjustRightInd w:val="0"/>
        <w:snapToGrid w:val="0"/>
        <w:spacing w:before="0" w:line="400" w:lineRule="exact"/>
        <w:jc w:val="left"/>
        <w:textAlignment w:val="auto"/>
        <w:rPr>
          <w:rFonts w:ascii="宋体" w:hAnsi="宋体" w:eastAsia="宋体" w:cs="Times New Roman"/>
          <w:b/>
          <w:bCs/>
          <w:snapToGrid/>
          <w:color w:val="000000"/>
          <w:kern w:val="2"/>
          <w:sz w:val="24"/>
          <w:szCs w:val="24"/>
          <w:highlight w:val="none"/>
          <w:lang w:eastAsia="zh-CN"/>
        </w:rPr>
      </w:pPr>
      <w:r>
        <w:rPr>
          <w:rFonts w:hint="eastAsia" w:ascii="宋体" w:hAnsi="宋体" w:eastAsia="宋体" w:cs="Times New Roman"/>
          <w:b/>
          <w:bCs/>
          <w:snapToGrid/>
          <w:color w:val="000000"/>
          <w:kern w:val="2"/>
          <w:sz w:val="24"/>
          <w:szCs w:val="24"/>
          <w:highlight w:val="none"/>
          <w:lang w:eastAsia="zh-CN"/>
        </w:rPr>
        <w:t>4</w:t>
      </w:r>
      <w:r>
        <w:rPr>
          <w:rFonts w:hint="eastAsia" w:ascii="宋体" w:hAnsi="宋体" w:eastAsia="宋体" w:cs="Times New Roman"/>
          <w:b/>
          <w:bCs/>
          <w:snapToGrid/>
          <w:color w:val="000000"/>
          <w:kern w:val="2"/>
          <w:sz w:val="24"/>
          <w:szCs w:val="24"/>
          <w:highlight w:val="none"/>
          <w:lang w:val="en-US" w:eastAsia="zh-CN"/>
        </w:rPr>
        <w:t xml:space="preserve">. </w:t>
      </w:r>
      <w:r>
        <w:rPr>
          <w:rFonts w:hint="eastAsia" w:ascii="宋体" w:hAnsi="宋体" w:eastAsia="宋体" w:cs="Times New Roman"/>
          <w:b/>
          <w:bCs/>
          <w:snapToGrid/>
          <w:color w:val="000000"/>
          <w:kern w:val="2"/>
          <w:sz w:val="24"/>
          <w:szCs w:val="24"/>
          <w:highlight w:val="none"/>
          <w:lang w:eastAsia="zh-CN"/>
        </w:rPr>
        <w:t>甲方的权利和义务</w:t>
      </w:r>
    </w:p>
    <w:p w14:paraId="54ACAA86">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4.1</w:t>
      </w:r>
      <w:r>
        <w:rPr>
          <w:rFonts w:ascii="宋体" w:hAnsi="宋体" w:eastAsia="宋体" w:cs="Times New Roman"/>
          <w:snapToGrid/>
          <w:color w:val="000000"/>
          <w:kern w:val="2"/>
          <w:szCs w:val="21"/>
          <w:highlight w:val="none"/>
          <w:lang w:eastAsia="zh-CN"/>
        </w:rPr>
        <w:t xml:space="preserve"> 签署合同后，甲方</w:t>
      </w:r>
      <w:r>
        <w:rPr>
          <w:rFonts w:hint="eastAsia" w:ascii="宋体" w:hAnsi="宋体" w:eastAsia="宋体" w:cs="Times New Roman"/>
          <w:snapToGrid/>
          <w:color w:val="000000"/>
          <w:kern w:val="2"/>
          <w:szCs w:val="21"/>
          <w:highlight w:val="none"/>
          <w:lang w:eastAsia="zh-CN"/>
        </w:rPr>
        <w:t>应</w:t>
      </w:r>
      <w:r>
        <w:rPr>
          <w:rFonts w:ascii="宋体" w:hAnsi="宋体" w:eastAsia="宋体" w:cs="Times New Roman"/>
          <w:snapToGrid/>
          <w:color w:val="000000"/>
          <w:kern w:val="2"/>
          <w:szCs w:val="21"/>
          <w:highlight w:val="none"/>
          <w:lang w:eastAsia="zh-CN"/>
        </w:rPr>
        <w:t>确定</w:t>
      </w:r>
      <w:r>
        <w:rPr>
          <w:rFonts w:hint="eastAsia" w:ascii="宋体" w:hAnsi="宋体" w:eastAsia="宋体" w:cs="Times New Roman"/>
          <w:snapToGrid/>
          <w:color w:val="000000"/>
          <w:kern w:val="2"/>
          <w:szCs w:val="21"/>
          <w:highlight w:val="none"/>
          <w:lang w:val="en-US" w:eastAsia="zh-CN"/>
        </w:rPr>
        <w:t>项目负责人（或项目联系人）</w:t>
      </w:r>
      <w:r>
        <w:rPr>
          <w:rFonts w:ascii="宋体" w:hAnsi="宋体" w:eastAsia="宋体" w:cs="Times New Roman"/>
          <w:snapToGrid/>
          <w:color w:val="000000"/>
          <w:kern w:val="2"/>
          <w:szCs w:val="21"/>
          <w:highlight w:val="none"/>
          <w:lang w:eastAsia="zh-CN"/>
        </w:rPr>
        <w:t>，负责与本合同有关的事务。</w:t>
      </w:r>
      <w:r>
        <w:rPr>
          <w:rFonts w:hint="eastAsia" w:ascii="宋体" w:hAnsi="宋体" w:eastAsia="宋体" w:cs="Times New Roman"/>
          <w:snapToGrid/>
          <w:color w:val="000000"/>
          <w:kern w:val="2"/>
          <w:szCs w:val="21"/>
          <w:highlight w:val="none"/>
          <w:lang w:eastAsia="zh-CN"/>
        </w:rPr>
        <w:t>甲方有权对乙方的履约行为进行检查，并</w:t>
      </w:r>
      <w:r>
        <w:rPr>
          <w:rFonts w:ascii="宋体" w:hAnsi="宋体" w:eastAsia="宋体" w:cs="Times New Roman"/>
          <w:snapToGrid/>
          <w:color w:val="000000"/>
          <w:kern w:val="2"/>
          <w:szCs w:val="21"/>
          <w:highlight w:val="none"/>
          <w:lang w:eastAsia="zh-CN"/>
        </w:rPr>
        <w:t>及时确认乙方提交的事项</w:t>
      </w:r>
      <w:r>
        <w:rPr>
          <w:rFonts w:hint="eastAsia" w:ascii="宋体" w:hAnsi="宋体" w:eastAsia="宋体" w:cs="Times New Roman"/>
          <w:snapToGrid/>
          <w:color w:val="000000"/>
          <w:kern w:val="2"/>
          <w:szCs w:val="21"/>
          <w:highlight w:val="none"/>
          <w:lang w:eastAsia="zh-CN"/>
        </w:rPr>
        <w:t>。甲方应当</w:t>
      </w:r>
      <w:r>
        <w:rPr>
          <w:rFonts w:ascii="宋体" w:hAnsi="宋体" w:eastAsia="宋体" w:cs="Times New Roman"/>
          <w:snapToGrid/>
          <w:color w:val="000000"/>
          <w:kern w:val="2"/>
          <w:szCs w:val="21"/>
          <w:highlight w:val="none"/>
          <w:lang w:eastAsia="zh-CN"/>
        </w:rPr>
        <w:t>配合乙方完成</w:t>
      </w:r>
      <w:r>
        <w:rPr>
          <w:rFonts w:hint="eastAsia" w:ascii="宋体" w:hAnsi="宋体" w:eastAsia="宋体" w:cs="Times New Roman"/>
          <w:snapToGrid/>
          <w:color w:val="000000"/>
          <w:kern w:val="2"/>
          <w:szCs w:val="21"/>
          <w:highlight w:val="none"/>
          <w:lang w:eastAsia="zh-CN"/>
        </w:rPr>
        <w:t>相关项目</w:t>
      </w:r>
      <w:r>
        <w:rPr>
          <w:rFonts w:ascii="宋体" w:hAnsi="宋体" w:eastAsia="宋体" w:cs="Times New Roman"/>
          <w:snapToGrid/>
          <w:color w:val="000000"/>
          <w:kern w:val="2"/>
          <w:szCs w:val="21"/>
          <w:highlight w:val="none"/>
          <w:lang w:eastAsia="zh-CN"/>
        </w:rPr>
        <w:t>实施工作。</w:t>
      </w:r>
    </w:p>
    <w:p w14:paraId="59537EC5">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 xml:space="preserve">4.2 </w:t>
      </w:r>
      <w:r>
        <w:rPr>
          <w:rFonts w:ascii="宋体" w:hAnsi="宋体" w:eastAsia="宋体" w:cs="Times New Roman"/>
          <w:snapToGrid/>
          <w:color w:val="000000"/>
          <w:kern w:val="2"/>
          <w:szCs w:val="21"/>
          <w:highlight w:val="none"/>
          <w:lang w:eastAsia="zh-CN"/>
        </w:rPr>
        <w:t>甲方有权要求乙方按时提交各阶段有关</w:t>
      </w:r>
      <w:r>
        <w:rPr>
          <w:rFonts w:hint="eastAsia" w:ascii="宋体" w:hAnsi="宋体" w:eastAsia="宋体" w:cs="Times New Roman"/>
          <w:snapToGrid/>
          <w:color w:val="000000"/>
          <w:kern w:val="2"/>
          <w:szCs w:val="21"/>
          <w:highlight w:val="none"/>
          <w:lang w:eastAsia="zh-CN"/>
        </w:rPr>
        <w:t>安排计划</w:t>
      </w:r>
      <w:r>
        <w:rPr>
          <w:rFonts w:ascii="宋体" w:hAnsi="宋体" w:eastAsia="宋体" w:cs="Times New Roman"/>
          <w:snapToGrid/>
          <w:color w:val="000000"/>
          <w:kern w:val="2"/>
          <w:szCs w:val="21"/>
          <w:highlight w:val="none"/>
          <w:lang w:eastAsia="zh-CN"/>
        </w:rPr>
        <w:t>，并有权</w:t>
      </w:r>
      <w:r>
        <w:rPr>
          <w:rFonts w:hint="eastAsia" w:ascii="宋体" w:hAnsi="宋体" w:eastAsia="宋体" w:cs="Times New Roman"/>
          <w:snapToGrid/>
          <w:color w:val="000000"/>
          <w:kern w:val="2"/>
          <w:szCs w:val="21"/>
          <w:highlight w:val="none"/>
          <w:lang w:eastAsia="zh-CN"/>
        </w:rPr>
        <w:t>定期核对乙方提供货物数量、规格、质量等内容。甲方</w:t>
      </w:r>
      <w:r>
        <w:rPr>
          <w:rFonts w:ascii="宋体" w:hAnsi="宋体" w:eastAsia="宋体" w:cs="Times New Roman"/>
          <w:snapToGrid/>
          <w:color w:val="000000"/>
          <w:kern w:val="2"/>
          <w:szCs w:val="21"/>
          <w:highlight w:val="none"/>
          <w:lang w:eastAsia="zh-CN"/>
        </w:rPr>
        <w:t>有权督促乙方工作并要求乙方</w:t>
      </w:r>
      <w:r>
        <w:rPr>
          <w:rFonts w:hint="eastAsia" w:ascii="宋体" w:hAnsi="宋体" w:eastAsia="宋体" w:cs="Times New Roman"/>
          <w:snapToGrid/>
          <w:color w:val="000000"/>
          <w:kern w:val="2"/>
          <w:szCs w:val="21"/>
          <w:highlight w:val="none"/>
          <w:lang w:eastAsia="zh-CN"/>
        </w:rPr>
        <w:t>更</w:t>
      </w:r>
      <w:r>
        <w:rPr>
          <w:rFonts w:ascii="宋体" w:hAnsi="宋体" w:eastAsia="宋体" w:cs="Times New Roman"/>
          <w:snapToGrid/>
          <w:color w:val="000000"/>
          <w:kern w:val="2"/>
          <w:szCs w:val="21"/>
          <w:highlight w:val="none"/>
          <w:lang w:eastAsia="zh-CN"/>
        </w:rPr>
        <w:t>换不符合要求的</w:t>
      </w:r>
      <w:r>
        <w:rPr>
          <w:rFonts w:hint="eastAsia" w:ascii="宋体" w:hAnsi="宋体" w:eastAsia="宋体" w:cs="Times New Roman"/>
          <w:snapToGrid/>
          <w:color w:val="000000"/>
          <w:kern w:val="2"/>
          <w:szCs w:val="21"/>
          <w:highlight w:val="none"/>
          <w:lang w:eastAsia="zh-CN"/>
        </w:rPr>
        <w:t>货物</w:t>
      </w:r>
      <w:r>
        <w:rPr>
          <w:rFonts w:ascii="宋体" w:hAnsi="宋体" w:eastAsia="宋体" w:cs="Times New Roman"/>
          <w:snapToGrid/>
          <w:color w:val="000000"/>
          <w:kern w:val="2"/>
          <w:szCs w:val="21"/>
          <w:highlight w:val="none"/>
          <w:lang w:eastAsia="zh-CN"/>
        </w:rPr>
        <w:t>。</w:t>
      </w:r>
    </w:p>
    <w:p w14:paraId="7B7E8F14">
      <w:pPr>
        <w:widowControl w:val="0"/>
        <w:kinsoku/>
        <w:autoSpaceDE w:val="0"/>
        <w:autoSpaceDN w:val="0"/>
        <w:adjustRightInd w:val="0"/>
        <w:snapToGrid w:val="0"/>
        <w:spacing w:before="0" w:line="400" w:lineRule="exact"/>
        <w:ind w:firstLine="420" w:firstLineChars="200"/>
        <w:jc w:val="left"/>
        <w:textAlignment w:val="auto"/>
        <w:rPr>
          <w:rFonts w:hint="eastAsia"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4.</w:t>
      </w:r>
      <w:r>
        <w:rPr>
          <w:rFonts w:ascii="宋体" w:hAnsi="宋体" w:eastAsia="宋体" w:cs="Times New Roman"/>
          <w:snapToGrid/>
          <w:color w:val="000000"/>
          <w:kern w:val="2"/>
          <w:szCs w:val="21"/>
          <w:highlight w:val="none"/>
          <w:lang w:eastAsia="zh-CN"/>
        </w:rPr>
        <w:t>3</w:t>
      </w:r>
      <w:r>
        <w:rPr>
          <w:rFonts w:hint="eastAsia" w:ascii="宋体" w:hAnsi="宋体" w:eastAsia="宋体" w:cs="Times New Roman"/>
          <w:snapToGrid/>
          <w:color w:val="000000"/>
          <w:kern w:val="2"/>
          <w:szCs w:val="21"/>
          <w:highlight w:val="none"/>
          <w:lang w:eastAsia="zh-CN"/>
        </w:rPr>
        <w:t xml:space="preserve"> </w:t>
      </w:r>
      <w:r>
        <w:rPr>
          <w:rFonts w:ascii="宋体" w:hAnsi="宋体" w:eastAsia="宋体" w:cs="Times New Roman"/>
          <w:snapToGrid/>
          <w:color w:val="000000"/>
          <w:kern w:val="2"/>
          <w:szCs w:val="21"/>
          <w:highlight w:val="none"/>
          <w:lang w:eastAsia="zh-CN"/>
        </w:rPr>
        <w:t>甲方</w:t>
      </w:r>
      <w:r>
        <w:rPr>
          <w:rFonts w:hint="eastAsia" w:ascii="宋体" w:hAnsi="宋体" w:eastAsia="宋体" w:cs="Times New Roman"/>
          <w:snapToGrid/>
          <w:color w:val="000000"/>
          <w:kern w:val="2"/>
          <w:szCs w:val="21"/>
          <w:highlight w:val="none"/>
          <w:lang w:eastAsia="zh-CN"/>
        </w:rPr>
        <w:t>有权要求乙方对缺陷部分予以修复，并按合同约定享有货物保修及其他合同约定的权利。</w:t>
      </w:r>
    </w:p>
    <w:p w14:paraId="257C9C38">
      <w:pPr>
        <w:widowControl w:val="0"/>
        <w:kinsoku/>
        <w:autoSpaceDE/>
        <w:autoSpaceDN/>
        <w:adjustRightInd/>
        <w:snapToGrid w:val="0"/>
        <w:spacing w:line="400" w:lineRule="exact"/>
        <w:ind w:firstLine="420" w:firstLineChars="200"/>
        <w:jc w:val="both"/>
        <w:textAlignment w:val="auto"/>
        <w:rPr>
          <w:rFonts w:hint="eastAsia" w:ascii="Times New Roman" w:hAnsi="Times New Roman" w:eastAsia="华文楷体" w:cs="Times New Roman"/>
          <w:snapToGrid/>
          <w:kern w:val="2"/>
          <w:szCs w:val="24"/>
          <w:lang w:val="en-US" w:eastAsia="zh-CN"/>
        </w:rPr>
      </w:pPr>
      <w:r>
        <w:rPr>
          <w:rFonts w:hint="default" w:ascii="宋体" w:hAnsi="宋体" w:eastAsia="宋体" w:cs="Times New Roman"/>
          <w:snapToGrid/>
          <w:color w:val="000000"/>
          <w:kern w:val="2"/>
          <w:szCs w:val="21"/>
          <w:highlight w:val="none"/>
          <w:lang w:val="en-US" w:eastAsia="zh-CN"/>
        </w:rPr>
        <w:t>4.4 甲方应当按照合同约定及时对交付的货物进行验收</w:t>
      </w:r>
      <w:r>
        <w:rPr>
          <w:rFonts w:hint="eastAsia" w:ascii="宋体" w:hAnsi="宋体" w:eastAsia="宋体" w:cs="Times New Roman"/>
          <w:snapToGrid/>
          <w:color w:val="000000"/>
          <w:kern w:val="2"/>
          <w:szCs w:val="21"/>
          <w:highlight w:val="none"/>
          <w:lang w:val="en-US" w:eastAsia="zh-CN"/>
        </w:rPr>
        <w:t>，</w:t>
      </w:r>
      <w:r>
        <w:rPr>
          <w:rFonts w:hint="eastAsia" w:ascii="宋体" w:hAnsi="宋体" w:eastAsia="宋体" w:cs="宋体"/>
          <w:b w:val="0"/>
          <w:bCs w:val="0"/>
          <w:snapToGrid/>
          <w:kern w:val="2"/>
          <w:szCs w:val="21"/>
          <w:highlight w:val="none"/>
          <w:lang w:eastAsia="zh-CN"/>
        </w:rPr>
        <w:t>未</w:t>
      </w:r>
      <w:r>
        <w:rPr>
          <w:rFonts w:hint="eastAsia" w:ascii="宋体" w:hAnsi="宋体" w:eastAsia="宋体" w:cs="Times New Roman"/>
          <w:snapToGrid/>
          <w:color w:val="000000"/>
          <w:kern w:val="2"/>
          <w:szCs w:val="21"/>
          <w:highlight w:val="none"/>
          <w:lang w:val="en-US" w:eastAsia="zh-CN"/>
        </w:rPr>
        <w:t>在</w:t>
      </w:r>
      <w:r>
        <w:rPr>
          <w:rFonts w:hint="eastAsia" w:ascii="宋体" w:hAnsi="宋体" w:eastAsia="宋体" w:cs="宋体"/>
          <w:b/>
          <w:bCs/>
          <w:snapToGrid/>
          <w:kern w:val="2"/>
          <w:szCs w:val="21"/>
          <w:highlight w:val="none"/>
          <w:lang w:eastAsia="zh-CN"/>
        </w:rPr>
        <w:t>【政府采购合同专用条款】</w:t>
      </w:r>
      <w:r>
        <w:rPr>
          <w:rFonts w:hint="eastAsia" w:ascii="宋体" w:hAnsi="宋体" w:eastAsia="宋体" w:cs="宋体"/>
          <w:b w:val="0"/>
          <w:bCs w:val="0"/>
          <w:snapToGrid/>
          <w:kern w:val="2"/>
          <w:szCs w:val="21"/>
          <w:highlight w:val="none"/>
          <w:lang w:eastAsia="zh-CN"/>
        </w:rPr>
        <w:t>约定的期限内对乙方履约提出任何异议或者向乙方作出任何说明的，</w:t>
      </w:r>
      <w:r>
        <w:rPr>
          <w:rFonts w:hint="eastAsia" w:ascii="宋体" w:hAnsi="宋体" w:eastAsia="宋体" w:cs="Times New Roman"/>
          <w:snapToGrid/>
          <w:color w:val="000000"/>
          <w:kern w:val="2"/>
          <w:szCs w:val="21"/>
          <w:highlight w:val="none"/>
          <w:lang w:val="en-US" w:eastAsia="zh-CN"/>
        </w:rPr>
        <w:t>视为验收通过。</w:t>
      </w:r>
    </w:p>
    <w:p w14:paraId="09A8C0B4">
      <w:pPr>
        <w:widowControl w:val="0"/>
        <w:kinsoku/>
        <w:autoSpaceDE w:val="0"/>
        <w:autoSpaceDN w:val="0"/>
        <w:adjustRightInd w:val="0"/>
        <w:snapToGrid w:val="0"/>
        <w:spacing w:line="400" w:lineRule="exact"/>
        <w:ind w:firstLine="420" w:firstLineChars="200"/>
        <w:jc w:val="left"/>
        <w:textAlignment w:val="auto"/>
        <w:rPr>
          <w:rFonts w:hint="eastAsia" w:ascii="宋体" w:hAnsi="宋体" w:eastAsia="宋体" w:cs="Times New Roman"/>
          <w:snapToGrid/>
          <w:color w:val="000000"/>
          <w:kern w:val="2"/>
          <w:szCs w:val="21"/>
          <w:highlight w:val="none"/>
          <w:lang w:eastAsia="zh-CN"/>
        </w:rPr>
      </w:pPr>
      <w:r>
        <w:rPr>
          <w:rFonts w:hint="default" w:ascii="宋体" w:hAnsi="宋体" w:eastAsia="宋体" w:cs="Times New Roman"/>
          <w:snapToGrid/>
          <w:color w:val="000000"/>
          <w:kern w:val="2"/>
          <w:szCs w:val="21"/>
          <w:highlight w:val="none"/>
          <w:lang w:eastAsia="zh-CN"/>
        </w:rPr>
        <w:t>4</w:t>
      </w:r>
      <w:r>
        <w:rPr>
          <w:rFonts w:hint="eastAsia" w:ascii="宋体" w:hAnsi="宋体" w:eastAsia="宋体" w:cs="Times New Roman"/>
          <w:snapToGrid/>
          <w:color w:val="000000"/>
          <w:kern w:val="2"/>
          <w:szCs w:val="21"/>
          <w:highlight w:val="none"/>
          <w:lang w:eastAsia="zh-CN"/>
        </w:rPr>
        <w:t>.</w:t>
      </w:r>
      <w:r>
        <w:rPr>
          <w:rFonts w:hint="default" w:ascii="宋体" w:hAnsi="宋体" w:eastAsia="宋体" w:cs="Times New Roman"/>
          <w:snapToGrid/>
          <w:color w:val="000000"/>
          <w:kern w:val="2"/>
          <w:szCs w:val="21"/>
          <w:highlight w:val="none"/>
          <w:lang w:val="en-US" w:eastAsia="zh-CN"/>
        </w:rPr>
        <w:t>5</w:t>
      </w:r>
      <w:r>
        <w:rPr>
          <w:rFonts w:ascii="宋体" w:hAnsi="宋体" w:eastAsia="宋体" w:cs="Times New Roman"/>
          <w:snapToGrid/>
          <w:color w:val="000000"/>
          <w:kern w:val="2"/>
          <w:szCs w:val="21"/>
          <w:highlight w:val="none"/>
          <w:lang w:eastAsia="zh-CN"/>
        </w:rPr>
        <w:t xml:space="preserve"> </w:t>
      </w:r>
      <w:r>
        <w:rPr>
          <w:rFonts w:hint="eastAsia" w:ascii="宋体" w:hAnsi="宋体" w:eastAsia="宋体" w:cs="Times New Roman"/>
          <w:snapToGrid/>
          <w:color w:val="000000"/>
          <w:kern w:val="2"/>
          <w:szCs w:val="21"/>
          <w:highlight w:val="none"/>
          <w:lang w:eastAsia="zh-CN"/>
        </w:rPr>
        <w:t>甲方应当根据合同约定及时向乙方支付合同价款</w:t>
      </w:r>
      <w:r>
        <w:rPr>
          <w:rFonts w:hint="default" w:ascii="宋体" w:hAnsi="宋体" w:eastAsia="宋体" w:cs="Times New Roman"/>
          <w:snapToGrid/>
          <w:color w:val="000000"/>
          <w:kern w:val="2"/>
          <w:szCs w:val="21"/>
          <w:highlight w:val="none"/>
          <w:lang w:eastAsia="zh-CN"/>
        </w:rPr>
        <w:t>，不得以内部人员变更、履行内部付款流程等为由，拒绝或迟延支付。</w:t>
      </w:r>
    </w:p>
    <w:p w14:paraId="63DDEA90">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4.</w:t>
      </w:r>
      <w:r>
        <w:rPr>
          <w:rFonts w:hint="eastAsia" w:ascii="宋体" w:hAnsi="宋体" w:eastAsia="宋体" w:cs="Times New Roman"/>
          <w:snapToGrid/>
          <w:color w:val="000000"/>
          <w:kern w:val="2"/>
          <w:szCs w:val="21"/>
          <w:highlight w:val="none"/>
          <w:lang w:val="en-US" w:eastAsia="zh-CN"/>
        </w:rPr>
        <w:t>6</w:t>
      </w:r>
      <w:r>
        <w:rPr>
          <w:rFonts w:ascii="宋体" w:hAnsi="宋体" w:eastAsia="宋体" w:cs="Times New Roman"/>
          <w:snapToGrid/>
          <w:color w:val="000000"/>
          <w:kern w:val="2"/>
          <w:szCs w:val="21"/>
          <w:highlight w:val="none"/>
          <w:lang w:eastAsia="zh-CN"/>
        </w:rPr>
        <w:t xml:space="preserve"> </w:t>
      </w:r>
      <w:r>
        <w:rPr>
          <w:rFonts w:hint="eastAsia" w:ascii="宋体" w:hAnsi="宋体" w:eastAsia="宋体" w:cs="Times New Roman"/>
          <w:snapToGrid/>
          <w:color w:val="000000"/>
          <w:kern w:val="2"/>
          <w:szCs w:val="21"/>
          <w:highlight w:val="none"/>
          <w:lang w:eastAsia="zh-CN"/>
        </w:rPr>
        <w:t>国家法律法规规定及</w:t>
      </w:r>
      <w:r>
        <w:rPr>
          <w:rFonts w:hint="eastAsia" w:ascii="宋体" w:hAnsi="宋体" w:eastAsia="宋体" w:cs="宋体"/>
          <w:b/>
          <w:bCs/>
          <w:snapToGrid/>
          <w:kern w:val="2"/>
          <w:szCs w:val="21"/>
          <w:highlight w:val="none"/>
          <w:lang w:eastAsia="zh-CN"/>
        </w:rPr>
        <w:t>【政府采购合同专用条款】</w:t>
      </w:r>
      <w:r>
        <w:rPr>
          <w:rFonts w:hint="eastAsia" w:ascii="宋体" w:hAnsi="宋体" w:eastAsia="宋体" w:cs="Times New Roman"/>
          <w:snapToGrid/>
          <w:color w:val="000000"/>
          <w:kern w:val="2"/>
          <w:szCs w:val="21"/>
          <w:highlight w:val="none"/>
          <w:lang w:eastAsia="zh-CN"/>
        </w:rPr>
        <w:t>约定应由甲方承担的其他义务和责任。</w:t>
      </w:r>
    </w:p>
    <w:p w14:paraId="7FE6716B">
      <w:pPr>
        <w:widowControl w:val="0"/>
        <w:kinsoku/>
        <w:autoSpaceDE w:val="0"/>
        <w:autoSpaceDN w:val="0"/>
        <w:adjustRightInd w:val="0"/>
        <w:snapToGrid w:val="0"/>
        <w:spacing w:before="0" w:line="400" w:lineRule="exact"/>
        <w:jc w:val="left"/>
        <w:textAlignment w:val="auto"/>
        <w:rPr>
          <w:rFonts w:ascii="宋体" w:hAnsi="宋体" w:eastAsia="宋体" w:cs="Times New Roman"/>
          <w:b/>
          <w:bCs/>
          <w:snapToGrid/>
          <w:color w:val="000000"/>
          <w:kern w:val="2"/>
          <w:sz w:val="24"/>
          <w:szCs w:val="24"/>
          <w:highlight w:val="none"/>
          <w:lang w:eastAsia="zh-CN"/>
        </w:rPr>
      </w:pPr>
      <w:r>
        <w:rPr>
          <w:rFonts w:hint="eastAsia" w:ascii="宋体" w:hAnsi="宋体" w:eastAsia="宋体" w:cs="Times New Roman"/>
          <w:b/>
          <w:bCs/>
          <w:snapToGrid/>
          <w:color w:val="000000"/>
          <w:kern w:val="2"/>
          <w:sz w:val="24"/>
          <w:szCs w:val="24"/>
          <w:highlight w:val="none"/>
          <w:lang w:eastAsia="zh-CN"/>
        </w:rPr>
        <w:t>5</w:t>
      </w:r>
      <w:r>
        <w:rPr>
          <w:rFonts w:hint="eastAsia" w:ascii="宋体" w:hAnsi="宋体" w:eastAsia="宋体" w:cs="Times New Roman"/>
          <w:b/>
          <w:bCs/>
          <w:snapToGrid/>
          <w:color w:val="000000"/>
          <w:kern w:val="2"/>
          <w:sz w:val="24"/>
          <w:szCs w:val="24"/>
          <w:highlight w:val="none"/>
          <w:lang w:val="en-US" w:eastAsia="zh-CN"/>
        </w:rPr>
        <w:t xml:space="preserve">. </w:t>
      </w:r>
      <w:r>
        <w:rPr>
          <w:rFonts w:hint="eastAsia" w:ascii="宋体" w:hAnsi="宋体" w:eastAsia="宋体" w:cs="Times New Roman"/>
          <w:b/>
          <w:bCs/>
          <w:snapToGrid/>
          <w:color w:val="000000"/>
          <w:kern w:val="2"/>
          <w:sz w:val="24"/>
          <w:szCs w:val="24"/>
          <w:highlight w:val="none"/>
          <w:lang w:eastAsia="zh-CN"/>
        </w:rPr>
        <w:t>乙方的权利和义务</w:t>
      </w:r>
    </w:p>
    <w:p w14:paraId="0161AD46">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 xml:space="preserve">5.1 </w:t>
      </w:r>
      <w:r>
        <w:rPr>
          <w:rFonts w:ascii="宋体" w:hAnsi="宋体" w:eastAsia="宋体" w:cs="Times New Roman"/>
          <w:snapToGrid/>
          <w:color w:val="000000"/>
          <w:kern w:val="2"/>
          <w:szCs w:val="21"/>
          <w:highlight w:val="none"/>
          <w:lang w:eastAsia="zh-CN"/>
        </w:rPr>
        <w:t>签署合同后，乙方</w:t>
      </w:r>
      <w:r>
        <w:rPr>
          <w:rFonts w:hint="eastAsia" w:ascii="宋体" w:hAnsi="宋体" w:eastAsia="宋体" w:cs="Times New Roman"/>
          <w:snapToGrid/>
          <w:color w:val="000000"/>
          <w:kern w:val="2"/>
          <w:szCs w:val="21"/>
          <w:highlight w:val="none"/>
          <w:lang w:eastAsia="zh-CN"/>
        </w:rPr>
        <w:t>应</w:t>
      </w:r>
      <w:r>
        <w:rPr>
          <w:rFonts w:ascii="宋体" w:hAnsi="宋体" w:eastAsia="宋体" w:cs="Times New Roman"/>
          <w:snapToGrid/>
          <w:color w:val="000000"/>
          <w:kern w:val="2"/>
          <w:szCs w:val="21"/>
          <w:highlight w:val="none"/>
          <w:lang w:eastAsia="zh-CN"/>
        </w:rPr>
        <w:t>确定</w:t>
      </w:r>
      <w:r>
        <w:rPr>
          <w:rFonts w:hint="eastAsia" w:ascii="宋体" w:hAnsi="宋体" w:eastAsia="宋体" w:cs="Times New Roman"/>
          <w:snapToGrid/>
          <w:color w:val="000000"/>
          <w:kern w:val="2"/>
          <w:szCs w:val="21"/>
          <w:highlight w:val="none"/>
          <w:lang w:val="en-US" w:eastAsia="zh-CN"/>
        </w:rPr>
        <w:t>项目负责人（或项目联系人）</w:t>
      </w:r>
      <w:r>
        <w:rPr>
          <w:rFonts w:ascii="宋体" w:hAnsi="宋体" w:eastAsia="宋体" w:cs="Times New Roman"/>
          <w:snapToGrid/>
          <w:color w:val="000000"/>
          <w:kern w:val="2"/>
          <w:szCs w:val="21"/>
          <w:highlight w:val="none"/>
          <w:lang w:eastAsia="zh-CN"/>
        </w:rPr>
        <w:t>，负责与本合同有关的事务。</w:t>
      </w:r>
    </w:p>
    <w:p w14:paraId="0FC446D8">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5.</w:t>
      </w:r>
      <w:r>
        <w:rPr>
          <w:rFonts w:ascii="宋体" w:hAnsi="宋体" w:eastAsia="宋体" w:cs="Times New Roman"/>
          <w:snapToGrid/>
          <w:color w:val="000000"/>
          <w:kern w:val="2"/>
          <w:szCs w:val="21"/>
          <w:highlight w:val="none"/>
          <w:lang w:eastAsia="zh-CN"/>
        </w:rPr>
        <w:t>2 乙方应按照合同要求</w:t>
      </w:r>
      <w:r>
        <w:rPr>
          <w:rFonts w:hint="eastAsia" w:ascii="宋体" w:hAnsi="宋体" w:eastAsia="宋体" w:cs="Times New Roman"/>
          <w:snapToGrid/>
          <w:color w:val="000000"/>
          <w:kern w:val="2"/>
          <w:szCs w:val="21"/>
          <w:highlight w:val="none"/>
          <w:lang w:eastAsia="zh-CN"/>
        </w:rPr>
        <w:t>履约</w:t>
      </w:r>
      <w:r>
        <w:rPr>
          <w:rFonts w:ascii="宋体" w:hAnsi="宋体" w:eastAsia="宋体" w:cs="Times New Roman"/>
          <w:snapToGrid/>
          <w:color w:val="000000"/>
          <w:kern w:val="2"/>
          <w:szCs w:val="21"/>
          <w:highlight w:val="none"/>
          <w:lang w:eastAsia="zh-CN"/>
        </w:rPr>
        <w:t>，充分合理安排，确保</w:t>
      </w:r>
      <w:r>
        <w:rPr>
          <w:rFonts w:hint="eastAsia" w:ascii="宋体" w:hAnsi="宋体" w:eastAsia="宋体" w:cs="Times New Roman"/>
          <w:snapToGrid/>
          <w:color w:val="000000"/>
          <w:kern w:val="2"/>
          <w:szCs w:val="21"/>
          <w:highlight w:val="none"/>
          <w:lang w:eastAsia="zh-CN"/>
        </w:rPr>
        <w:t>提供的货物及相关服务符合合同有关</w:t>
      </w:r>
      <w:r>
        <w:rPr>
          <w:rFonts w:ascii="宋体" w:hAnsi="宋体" w:eastAsia="宋体" w:cs="Times New Roman"/>
          <w:snapToGrid/>
          <w:color w:val="000000"/>
          <w:kern w:val="2"/>
          <w:szCs w:val="21"/>
          <w:highlight w:val="none"/>
          <w:lang w:eastAsia="zh-CN"/>
        </w:rPr>
        <w:t>要求</w:t>
      </w:r>
      <w:r>
        <w:rPr>
          <w:rFonts w:hint="eastAsia" w:ascii="宋体" w:hAnsi="宋体" w:eastAsia="宋体" w:cs="Times New Roman"/>
          <w:snapToGrid/>
          <w:color w:val="000000"/>
          <w:kern w:val="2"/>
          <w:szCs w:val="21"/>
          <w:highlight w:val="none"/>
          <w:lang w:eastAsia="zh-CN"/>
        </w:rPr>
        <w:t>。接受项目行业管理部门及政府有关部门的指导，配合甲方的履约检查及验收，并</w:t>
      </w:r>
      <w:r>
        <w:rPr>
          <w:rFonts w:ascii="宋体" w:hAnsi="宋体" w:eastAsia="宋体" w:cs="Times New Roman"/>
          <w:snapToGrid/>
          <w:color w:val="000000"/>
          <w:kern w:val="2"/>
          <w:szCs w:val="21"/>
          <w:highlight w:val="none"/>
          <w:lang w:eastAsia="zh-CN"/>
        </w:rPr>
        <w:t>负责项目实施过程中的所有协调工作。</w:t>
      </w:r>
    </w:p>
    <w:p w14:paraId="0D43F741">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0AB51A20">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06FA1675">
      <w:pPr>
        <w:widowControl w:val="0"/>
        <w:numPr>
          <w:ilvl w:val="0"/>
          <w:numId w:val="5"/>
        </w:numPr>
        <w:kinsoku/>
        <w:autoSpaceDE w:val="0"/>
        <w:autoSpaceDN w:val="0"/>
        <w:adjustRightInd w:val="0"/>
        <w:snapToGrid w:val="0"/>
        <w:spacing w:before="0" w:line="400" w:lineRule="exact"/>
        <w:jc w:val="left"/>
        <w:textAlignment w:val="auto"/>
        <w:rPr>
          <w:rFonts w:hint="eastAsia" w:ascii="宋体" w:hAnsi="宋体" w:eastAsia="宋体" w:cs="Times New Roman"/>
          <w:b/>
          <w:bCs/>
          <w:snapToGrid/>
          <w:color w:val="000000"/>
          <w:kern w:val="2"/>
          <w:sz w:val="24"/>
          <w:szCs w:val="24"/>
          <w:highlight w:val="none"/>
          <w:lang w:eastAsia="zh-CN"/>
        </w:rPr>
      </w:pPr>
      <w:r>
        <w:rPr>
          <w:rFonts w:hint="eastAsia" w:ascii="宋体" w:hAnsi="宋体" w:eastAsia="宋体" w:cs="Times New Roman"/>
          <w:b/>
          <w:bCs/>
          <w:snapToGrid/>
          <w:color w:val="000000"/>
          <w:kern w:val="2"/>
          <w:sz w:val="24"/>
          <w:szCs w:val="24"/>
          <w:highlight w:val="none"/>
          <w:lang w:eastAsia="zh-CN"/>
        </w:rPr>
        <w:t>合同履</w:t>
      </w:r>
      <w:r>
        <w:rPr>
          <w:rFonts w:hint="eastAsia" w:ascii="宋体" w:hAnsi="宋体" w:eastAsia="宋体" w:cs="Times New Roman"/>
          <w:b/>
          <w:bCs/>
          <w:snapToGrid/>
          <w:color w:val="000000"/>
          <w:kern w:val="2"/>
          <w:sz w:val="24"/>
          <w:szCs w:val="24"/>
          <w:highlight w:val="none"/>
          <w:lang w:val="en-US" w:eastAsia="zh-CN"/>
        </w:rPr>
        <w:t>行</w:t>
      </w:r>
    </w:p>
    <w:p w14:paraId="32E51475">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6.1 甲乙双方应当按照</w:t>
      </w:r>
      <w:r>
        <w:rPr>
          <w:rFonts w:hint="eastAsia" w:ascii="宋体" w:hAnsi="宋体" w:eastAsia="宋体" w:cs="宋体"/>
          <w:b/>
          <w:bCs/>
          <w:snapToGrid/>
          <w:kern w:val="2"/>
          <w:szCs w:val="21"/>
          <w:highlight w:val="none"/>
          <w:lang w:eastAsia="zh-CN"/>
        </w:rPr>
        <w:t>【政府采购合同专用条款】</w:t>
      </w:r>
      <w:r>
        <w:rPr>
          <w:rFonts w:hint="eastAsia" w:ascii="宋体" w:hAnsi="宋体" w:eastAsia="宋体" w:cs="Times New Roman"/>
          <w:snapToGrid/>
          <w:color w:val="000000"/>
          <w:kern w:val="2"/>
          <w:szCs w:val="21"/>
          <w:highlight w:val="none"/>
          <w:lang w:eastAsia="zh-CN"/>
        </w:rPr>
        <w:t>约定顺序履行合同义务；如果没有先后顺序的，应当同时履行。</w:t>
      </w:r>
    </w:p>
    <w:p w14:paraId="0E8033AF">
      <w:pPr>
        <w:widowControl w:val="0"/>
        <w:kinsoku/>
        <w:autoSpaceDE w:val="0"/>
        <w:autoSpaceDN w:val="0"/>
        <w:adjustRightInd w:val="0"/>
        <w:snapToGrid w:val="0"/>
        <w:spacing w:before="0" w:line="400" w:lineRule="exact"/>
        <w:ind w:firstLine="420" w:firstLineChars="200"/>
        <w:jc w:val="left"/>
        <w:textAlignment w:val="auto"/>
        <w:rPr>
          <w:rFonts w:ascii="Times New Roman" w:hAnsi="Times New Roman" w:eastAsia="宋体" w:cs="Times New Roman"/>
          <w:snapToGrid/>
          <w:kern w:val="2"/>
          <w:szCs w:val="24"/>
          <w:lang w:eastAsia="zh-CN"/>
        </w:rPr>
      </w:pPr>
      <w:r>
        <w:rPr>
          <w:rFonts w:hint="eastAsia" w:ascii="宋体" w:hAnsi="宋体" w:eastAsia="宋体" w:cs="Times New Roman"/>
          <w:snapToGrid/>
          <w:color w:val="000000"/>
          <w:kern w:val="2"/>
          <w:szCs w:val="21"/>
          <w:highlight w:val="none"/>
          <w:lang w:eastAsia="zh-CN"/>
        </w:rPr>
        <w:t>6.2 甲乙双方按照合同约定顺序履行合同义务时，应当先履行一方未履行的，后履行一方有权拒绝其履行请求。先履行一方履行不符合约定的，后履行一方有权拒绝其相应的履行请求。</w:t>
      </w:r>
    </w:p>
    <w:p w14:paraId="2EA077C7">
      <w:pPr>
        <w:widowControl w:val="0"/>
        <w:kinsoku/>
        <w:autoSpaceDE/>
        <w:autoSpaceDN/>
        <w:adjustRightInd w:val="0"/>
        <w:snapToGrid w:val="0"/>
        <w:spacing w:before="0" w:line="400" w:lineRule="exact"/>
        <w:jc w:val="left"/>
        <w:textAlignment w:val="auto"/>
        <w:rPr>
          <w:rFonts w:ascii="宋体" w:hAnsi="宋体" w:eastAsia="宋体" w:cs="Times New Roman"/>
          <w:b/>
          <w:bCs/>
          <w:snapToGrid/>
          <w:color w:val="000000"/>
          <w:kern w:val="2"/>
          <w:sz w:val="24"/>
          <w:szCs w:val="24"/>
          <w:highlight w:val="none"/>
          <w:lang w:eastAsia="zh-CN"/>
        </w:rPr>
      </w:pPr>
      <w:r>
        <w:rPr>
          <w:rFonts w:hint="eastAsia" w:ascii="宋体" w:hAnsi="宋体" w:eastAsia="宋体" w:cs="Times New Roman"/>
          <w:b/>
          <w:bCs/>
          <w:snapToGrid/>
          <w:color w:val="000000"/>
          <w:kern w:val="2"/>
          <w:sz w:val="24"/>
          <w:szCs w:val="24"/>
          <w:highlight w:val="none"/>
          <w:lang w:eastAsia="zh-CN"/>
        </w:rPr>
        <w:t>7</w:t>
      </w:r>
      <w:r>
        <w:rPr>
          <w:rFonts w:hint="eastAsia" w:ascii="宋体" w:hAnsi="宋体" w:eastAsia="宋体" w:cs="Times New Roman"/>
          <w:b/>
          <w:bCs/>
          <w:snapToGrid/>
          <w:color w:val="000000"/>
          <w:kern w:val="2"/>
          <w:sz w:val="24"/>
          <w:szCs w:val="24"/>
          <w:highlight w:val="none"/>
          <w:lang w:val="en-US" w:eastAsia="zh-CN"/>
        </w:rPr>
        <w:t xml:space="preserve">. </w:t>
      </w:r>
      <w:r>
        <w:rPr>
          <w:rFonts w:hint="eastAsia" w:ascii="宋体" w:hAnsi="宋体" w:eastAsia="宋体" w:cs="Times New Roman"/>
          <w:b/>
          <w:bCs/>
          <w:snapToGrid/>
          <w:color w:val="000000"/>
          <w:kern w:val="2"/>
          <w:sz w:val="24"/>
          <w:szCs w:val="24"/>
          <w:highlight w:val="none"/>
          <w:lang w:eastAsia="zh-CN"/>
        </w:rPr>
        <w:t>货物包装、运输、保险和交付要求</w:t>
      </w:r>
    </w:p>
    <w:p w14:paraId="70CABFB3">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7.1 本合同</w:t>
      </w:r>
      <w:r>
        <w:rPr>
          <w:rFonts w:hint="eastAsia" w:ascii="宋体" w:hAnsi="宋体" w:eastAsia="宋体" w:cs="Times New Roman"/>
          <w:bCs/>
          <w:snapToGrid/>
          <w:color w:val="000000"/>
          <w:kern w:val="2"/>
          <w:szCs w:val="21"/>
          <w:highlight w:val="none"/>
          <w:lang w:eastAsia="zh-CN"/>
        </w:rPr>
        <w:t>涉及商品包装、快递包装的，</w:t>
      </w:r>
      <w:r>
        <w:rPr>
          <w:rFonts w:hint="eastAsia" w:ascii="宋体" w:hAnsi="宋体" w:eastAsia="宋体" w:cs="Times New Roman"/>
          <w:snapToGrid/>
          <w:color w:val="000000"/>
          <w:kern w:val="2"/>
          <w:szCs w:val="21"/>
          <w:highlight w:val="none"/>
          <w:lang w:eastAsia="zh-CN"/>
        </w:rPr>
        <w:t>除</w:t>
      </w:r>
      <w:r>
        <w:rPr>
          <w:rFonts w:hint="eastAsia" w:ascii="宋体" w:hAnsi="宋体" w:eastAsia="宋体" w:cs="Times New Roman"/>
          <w:b/>
          <w:snapToGrid/>
          <w:color w:val="000000"/>
          <w:kern w:val="2"/>
          <w:szCs w:val="21"/>
          <w:highlight w:val="none"/>
          <w:lang w:eastAsia="zh-CN"/>
        </w:rPr>
        <w:t>【政府采购合同专用条款】</w:t>
      </w:r>
      <w:r>
        <w:rPr>
          <w:rFonts w:hint="eastAsia" w:ascii="宋体" w:hAnsi="宋体" w:eastAsia="宋体" w:cs="Times New Roman"/>
          <w:bCs/>
          <w:snapToGrid/>
          <w:color w:val="000000"/>
          <w:kern w:val="2"/>
          <w:szCs w:val="21"/>
          <w:highlight w:val="none"/>
          <w:lang w:eastAsia="zh-CN"/>
        </w:rPr>
        <w:t>另有约定外，</w:t>
      </w:r>
      <w:r>
        <w:rPr>
          <w:rFonts w:hint="eastAsia" w:ascii="宋体" w:hAnsi="宋体" w:eastAsia="宋体" w:cs="Times New Roman"/>
          <w:snapToGrid/>
          <w:color w:val="000000"/>
          <w:kern w:val="2"/>
          <w:szCs w:val="21"/>
          <w:highlight w:val="none"/>
          <w:lang w:eastAsia="zh-CN"/>
        </w:rPr>
        <w:t>包装应适应远距离运输、防潮、防震、防锈和防野蛮装卸等要求，确保货物安全无损地运抵</w:t>
      </w:r>
      <w:r>
        <w:rPr>
          <w:rFonts w:hint="eastAsia" w:ascii="宋体" w:hAnsi="宋体" w:eastAsia="宋体" w:cs="Times New Roman"/>
          <w:b/>
          <w:snapToGrid/>
          <w:color w:val="000000"/>
          <w:kern w:val="2"/>
          <w:szCs w:val="21"/>
          <w:highlight w:val="none"/>
          <w:lang w:eastAsia="zh-CN"/>
        </w:rPr>
        <w:t>【政府采购合同专用条款】</w:t>
      </w:r>
      <w:r>
        <w:rPr>
          <w:rFonts w:hint="eastAsia" w:ascii="宋体" w:hAnsi="宋体" w:eastAsia="宋体" w:cs="Times New Roman"/>
          <w:b w:val="0"/>
          <w:bCs/>
          <w:snapToGrid/>
          <w:color w:val="000000"/>
          <w:kern w:val="2"/>
          <w:szCs w:val="21"/>
          <w:highlight w:val="none"/>
          <w:lang w:eastAsia="zh-CN"/>
        </w:rPr>
        <w:t>约定的</w:t>
      </w:r>
      <w:r>
        <w:rPr>
          <w:rFonts w:hint="eastAsia" w:ascii="宋体" w:hAnsi="宋体" w:eastAsia="宋体" w:cs="Times New Roman"/>
          <w:snapToGrid/>
          <w:color w:val="000000"/>
          <w:kern w:val="2"/>
          <w:szCs w:val="21"/>
          <w:highlight w:val="none"/>
          <w:lang w:eastAsia="zh-CN"/>
        </w:rPr>
        <w:t>指定现场。</w:t>
      </w:r>
    </w:p>
    <w:p w14:paraId="346939AD">
      <w:pPr>
        <w:widowControl w:val="0"/>
        <w:kinsoku/>
        <w:autoSpaceDE/>
        <w:autoSpaceDN/>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7.2 除</w:t>
      </w:r>
      <w:r>
        <w:rPr>
          <w:rFonts w:hint="eastAsia" w:ascii="宋体" w:hAnsi="宋体" w:eastAsia="宋体" w:cs="Times New Roman"/>
          <w:b/>
          <w:snapToGrid/>
          <w:color w:val="000000"/>
          <w:kern w:val="2"/>
          <w:szCs w:val="21"/>
          <w:highlight w:val="none"/>
          <w:lang w:eastAsia="zh-CN"/>
        </w:rPr>
        <w:t>【政府采购合同专用条款】</w:t>
      </w:r>
      <w:r>
        <w:rPr>
          <w:rFonts w:hint="eastAsia" w:ascii="宋体" w:hAnsi="宋体" w:eastAsia="宋体" w:cs="Times New Roman"/>
          <w:bCs/>
          <w:snapToGrid/>
          <w:color w:val="000000"/>
          <w:kern w:val="2"/>
          <w:szCs w:val="21"/>
          <w:highlight w:val="none"/>
          <w:lang w:eastAsia="zh-CN"/>
        </w:rPr>
        <w:t>另有约定外，</w:t>
      </w:r>
      <w:r>
        <w:rPr>
          <w:rFonts w:hint="eastAsia" w:ascii="宋体" w:hAnsi="宋体" w:eastAsia="宋体" w:cs="Times New Roman"/>
          <w:snapToGrid/>
          <w:color w:val="000000"/>
          <w:kern w:val="2"/>
          <w:szCs w:val="21"/>
          <w:highlight w:val="none"/>
          <w:lang w:eastAsia="zh-CN"/>
        </w:rPr>
        <w:t>乙方负责办理将货物运抵本合同规定的交货地点，并装卸、交付至甲方的一切运输事项，相关费用应包含在合同价款中。</w:t>
      </w:r>
    </w:p>
    <w:p w14:paraId="2782AAC8">
      <w:pPr>
        <w:widowControl w:val="0"/>
        <w:kinsoku/>
        <w:autoSpaceDE/>
        <w:autoSpaceDN/>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7.3 货物保险要求按</w:t>
      </w:r>
      <w:r>
        <w:rPr>
          <w:rFonts w:hint="eastAsia" w:ascii="宋体" w:hAnsi="宋体" w:eastAsia="宋体" w:cs="Times New Roman"/>
          <w:b/>
          <w:snapToGrid/>
          <w:color w:val="000000"/>
          <w:kern w:val="2"/>
          <w:szCs w:val="21"/>
          <w:highlight w:val="none"/>
          <w:lang w:eastAsia="zh-CN"/>
        </w:rPr>
        <w:t>【政府采购合同专用条款】</w:t>
      </w:r>
      <w:r>
        <w:rPr>
          <w:rFonts w:hint="eastAsia" w:ascii="宋体" w:hAnsi="宋体" w:eastAsia="宋体" w:cs="Times New Roman"/>
          <w:bCs/>
          <w:snapToGrid/>
          <w:color w:val="000000"/>
          <w:kern w:val="2"/>
          <w:szCs w:val="21"/>
          <w:highlight w:val="none"/>
          <w:lang w:eastAsia="zh-CN"/>
        </w:rPr>
        <w:t>规定执行</w:t>
      </w:r>
      <w:r>
        <w:rPr>
          <w:rFonts w:hint="eastAsia" w:ascii="宋体" w:hAnsi="宋体" w:eastAsia="宋体" w:cs="Times New Roman"/>
          <w:snapToGrid/>
          <w:color w:val="000000"/>
          <w:kern w:val="2"/>
          <w:szCs w:val="21"/>
          <w:highlight w:val="none"/>
          <w:lang w:eastAsia="zh-CN"/>
        </w:rPr>
        <w:t>。</w:t>
      </w:r>
    </w:p>
    <w:p w14:paraId="3AD6A22B">
      <w:pPr>
        <w:widowControl w:val="0"/>
        <w:kinsoku/>
        <w:autoSpaceDE w:val="0"/>
        <w:autoSpaceDN w:val="0"/>
        <w:adjustRightInd w:val="0"/>
        <w:snapToGrid w:val="0"/>
        <w:spacing w:before="0" w:line="400" w:lineRule="exact"/>
        <w:ind w:firstLine="420" w:firstLineChars="200"/>
        <w:jc w:val="left"/>
        <w:textAlignment w:val="auto"/>
        <w:rPr>
          <w:rFonts w:hint="eastAsia"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 xml:space="preserve">7.4 </w:t>
      </w:r>
      <w:r>
        <w:rPr>
          <w:rFonts w:hint="eastAsia" w:ascii="宋体" w:hAnsi="宋体" w:eastAsia="宋体" w:cs="Times New Roman"/>
          <w:snapToGrid/>
          <w:color w:val="000000"/>
          <w:kern w:val="2"/>
          <w:szCs w:val="21"/>
          <w:highlight w:val="none"/>
          <w:lang w:val="en-US" w:eastAsia="zh-CN"/>
        </w:rPr>
        <w:t>除采购活动</w:t>
      </w:r>
      <w:r>
        <w:rPr>
          <w:rFonts w:hint="eastAsia" w:ascii="宋体" w:hAnsi="宋体" w:eastAsia="宋体" w:cs="Times New Roman"/>
          <w:snapToGrid/>
          <w:color w:val="000000"/>
          <w:kern w:val="2"/>
          <w:szCs w:val="21"/>
          <w:highlight w:val="none"/>
          <w:lang w:eastAsia="zh-CN"/>
        </w:rPr>
        <w:t>对商品包装、快递包装</w:t>
      </w:r>
      <w:r>
        <w:rPr>
          <w:rFonts w:hint="eastAsia" w:ascii="宋体" w:hAnsi="宋体" w:eastAsia="宋体" w:cs="Times New Roman"/>
          <w:snapToGrid/>
          <w:color w:val="000000"/>
          <w:kern w:val="2"/>
          <w:szCs w:val="21"/>
          <w:highlight w:val="none"/>
          <w:lang w:val="en-US" w:eastAsia="zh-CN"/>
        </w:rPr>
        <w:t>达成具体约定外</w:t>
      </w:r>
      <w:r>
        <w:rPr>
          <w:rFonts w:hint="eastAsia" w:ascii="宋体" w:hAnsi="宋体" w:eastAsia="宋体" w:cs="Times New Roman"/>
          <w:snapToGrid/>
          <w:color w:val="000000"/>
          <w:kern w:val="2"/>
          <w:szCs w:val="21"/>
          <w:highlight w:val="none"/>
          <w:lang w:eastAsia="zh-CN"/>
        </w:rPr>
        <w:t>，乙方提供产品及相关快递服务</w:t>
      </w:r>
      <w:r>
        <w:rPr>
          <w:rFonts w:hint="eastAsia" w:ascii="宋体" w:hAnsi="宋体" w:eastAsia="宋体" w:cs="Times New Roman"/>
          <w:snapToGrid/>
          <w:color w:val="000000"/>
          <w:kern w:val="2"/>
          <w:szCs w:val="21"/>
          <w:highlight w:val="none"/>
          <w:lang w:val="en-US" w:eastAsia="zh-CN"/>
        </w:rPr>
        <w:t>涉及到</w:t>
      </w:r>
      <w:r>
        <w:rPr>
          <w:rFonts w:hint="eastAsia" w:ascii="宋体" w:hAnsi="宋体" w:eastAsia="宋体" w:cs="Times New Roman"/>
          <w:snapToGrid/>
          <w:color w:val="000000"/>
          <w:kern w:val="2"/>
          <w:szCs w:val="21"/>
          <w:highlight w:val="none"/>
          <w:lang w:eastAsia="zh-CN"/>
        </w:rPr>
        <w:t>具体包装要求</w:t>
      </w:r>
      <w:r>
        <w:rPr>
          <w:rFonts w:hint="eastAsia" w:ascii="宋体" w:hAnsi="宋体" w:eastAsia="宋体" w:cs="Times New Roman"/>
          <w:snapToGrid/>
          <w:color w:val="000000"/>
          <w:kern w:val="2"/>
          <w:szCs w:val="21"/>
          <w:highlight w:val="none"/>
          <w:lang w:val="en-US" w:eastAsia="zh-CN"/>
        </w:rPr>
        <w:t>的，</w:t>
      </w:r>
      <w:r>
        <w:rPr>
          <w:rFonts w:hint="eastAsia" w:ascii="宋体" w:hAnsi="宋体" w:eastAsia="宋体" w:cs="Times New Roman"/>
          <w:snapToGrid/>
          <w:color w:val="000000"/>
          <w:kern w:val="2"/>
          <w:szCs w:val="21"/>
          <w:highlight w:val="none"/>
          <w:lang w:eastAsia="zh-CN"/>
        </w:rPr>
        <w:t>应</w:t>
      </w:r>
      <w:r>
        <w:rPr>
          <w:rFonts w:hint="eastAsia" w:ascii="宋体" w:hAnsi="宋体" w:eastAsia="宋体" w:cs="Times New Roman"/>
          <w:snapToGrid/>
          <w:color w:val="000000"/>
          <w:kern w:val="2"/>
          <w:szCs w:val="21"/>
          <w:highlight w:val="none"/>
          <w:lang w:val="en-US" w:eastAsia="zh-CN"/>
        </w:rPr>
        <w:t>不低于</w:t>
      </w:r>
      <w:r>
        <w:rPr>
          <w:rFonts w:hint="eastAsia" w:ascii="宋体" w:hAnsi="宋体" w:eastAsia="宋体" w:cs="Times New Roman"/>
          <w:snapToGrid/>
          <w:color w:val="000000"/>
          <w:kern w:val="2"/>
          <w:szCs w:val="21"/>
          <w:highlight w:val="none"/>
          <w:lang w:eastAsia="zh-CN"/>
        </w:rPr>
        <w:t>《商品包装政府采购需求标准（试行）》《快递包装政府采购需求标准（试行）》</w:t>
      </w:r>
      <w:r>
        <w:rPr>
          <w:rFonts w:hint="eastAsia" w:ascii="宋体" w:hAnsi="宋体" w:eastAsia="宋体" w:cs="Times New Roman"/>
          <w:snapToGrid/>
          <w:color w:val="000000"/>
          <w:kern w:val="2"/>
          <w:szCs w:val="21"/>
          <w:highlight w:val="none"/>
          <w:lang w:val="en-US" w:eastAsia="zh-CN"/>
        </w:rPr>
        <w:t>标准</w:t>
      </w:r>
      <w:r>
        <w:rPr>
          <w:rFonts w:hint="eastAsia" w:ascii="宋体" w:hAnsi="宋体" w:eastAsia="宋体" w:cs="Times New Roman"/>
          <w:snapToGrid/>
          <w:color w:val="000000"/>
          <w:kern w:val="2"/>
          <w:szCs w:val="21"/>
          <w:highlight w:val="none"/>
          <w:lang w:eastAsia="zh-CN"/>
        </w:rPr>
        <w:t>，并作为履约验收的内容，必要时甲方可以要求乙方在履约验收环节出具检测报告。</w:t>
      </w:r>
    </w:p>
    <w:p w14:paraId="0E6D1841">
      <w:pPr>
        <w:widowControl w:val="0"/>
        <w:kinsoku/>
        <w:autoSpaceDE w:val="0"/>
        <w:autoSpaceDN w:val="0"/>
        <w:adjustRightInd w:val="0"/>
        <w:snapToGrid w:val="0"/>
        <w:spacing w:before="0" w:line="400" w:lineRule="exact"/>
        <w:ind w:firstLine="420" w:firstLineChars="200"/>
        <w:jc w:val="left"/>
        <w:textAlignment w:val="auto"/>
        <w:rPr>
          <w:rFonts w:hint="eastAsia"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val="en-US" w:eastAsia="zh-CN"/>
        </w:rPr>
        <w:t xml:space="preserve">7.5 </w:t>
      </w:r>
      <w:r>
        <w:rPr>
          <w:rFonts w:hint="eastAsia" w:ascii="宋体" w:hAnsi="宋体" w:eastAsia="宋体" w:cs="宋体"/>
          <w:snapToGrid/>
          <w:color w:val="000000"/>
          <w:kern w:val="2"/>
          <w:szCs w:val="21"/>
          <w:lang w:eastAsia="zh-CN"/>
        </w:rPr>
        <w:t>乙方在运输到达之前应提前通知甲方，并提示货物运输装卸的注意事项，甲方配合乙方做好货物的接收工作。</w:t>
      </w:r>
    </w:p>
    <w:p w14:paraId="64A75037">
      <w:pPr>
        <w:autoSpaceDE w:val="0"/>
        <w:autoSpaceDN w:val="0"/>
        <w:adjustRightInd w:val="0"/>
        <w:spacing w:line="400" w:lineRule="exact"/>
        <w:ind w:firstLine="420" w:firstLineChars="200"/>
        <w:rPr>
          <w:rFonts w:hint="default" w:ascii="华文楷体" w:hAnsi="华文楷体" w:eastAsia="华文楷体" w:cs="华文楷体"/>
          <w:sz w:val="21"/>
          <w:szCs w:val="21"/>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455E855D">
      <w:pPr>
        <w:widowControl w:val="0"/>
        <w:kinsoku/>
        <w:autoSpaceDE/>
        <w:autoSpaceDN/>
        <w:adjustRightInd w:val="0"/>
        <w:snapToGrid w:val="0"/>
        <w:spacing w:before="0" w:line="400" w:lineRule="exact"/>
        <w:jc w:val="left"/>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000000"/>
          <w:kern w:val="2"/>
          <w:sz w:val="24"/>
          <w:szCs w:val="24"/>
          <w:highlight w:val="none"/>
          <w:lang w:eastAsia="zh-CN"/>
        </w:rPr>
        <w:t>8</w:t>
      </w:r>
      <w:r>
        <w:rPr>
          <w:rFonts w:hint="eastAsia" w:ascii="宋体" w:hAnsi="宋体" w:eastAsia="宋体" w:cs="Times New Roman"/>
          <w:b/>
          <w:snapToGrid/>
          <w:color w:val="000000"/>
          <w:kern w:val="2"/>
          <w:sz w:val="24"/>
          <w:szCs w:val="24"/>
          <w:highlight w:val="none"/>
          <w:lang w:val="en-US" w:eastAsia="zh-CN"/>
        </w:rPr>
        <w:t xml:space="preserve">. </w:t>
      </w:r>
      <w:r>
        <w:rPr>
          <w:rFonts w:hint="eastAsia" w:ascii="宋体" w:hAnsi="宋体" w:eastAsia="宋体" w:cs="Times New Roman"/>
          <w:b/>
          <w:snapToGrid/>
          <w:color w:val="auto"/>
          <w:kern w:val="2"/>
          <w:sz w:val="24"/>
          <w:szCs w:val="24"/>
          <w:highlight w:val="none"/>
          <w:lang w:eastAsia="zh-CN"/>
        </w:rPr>
        <w:t>质量标准和保证</w:t>
      </w:r>
    </w:p>
    <w:p w14:paraId="5BFF531D">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56EBFD69">
      <w:pPr>
        <w:widowControl w:val="0"/>
        <w:kinsoku/>
        <w:autoSpaceDE w:val="0"/>
        <w:autoSpaceDN w:val="0"/>
        <w:adjustRightInd w:val="0"/>
        <w:snapToGrid w:val="0"/>
        <w:spacing w:before="0" w:line="400" w:lineRule="exact"/>
        <w:ind w:firstLine="420" w:firstLineChars="200"/>
        <w:jc w:val="left"/>
        <w:textAlignment w:val="auto"/>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（1）本合同下提供的货物应符合合同</w:t>
      </w:r>
      <w:r>
        <w:rPr>
          <w:rFonts w:hint="eastAsia" w:ascii="宋体" w:hAnsi="宋体" w:eastAsia="宋体" w:cs="宋体"/>
          <w:snapToGrid/>
          <w:color w:val="000000"/>
          <w:kern w:val="2"/>
          <w:szCs w:val="21"/>
          <w:lang w:eastAsia="zh-CN"/>
        </w:rPr>
        <w:t>约定的</w:t>
      </w:r>
      <w:r>
        <w:rPr>
          <w:rFonts w:hint="eastAsia" w:ascii="宋体" w:hAnsi="宋体" w:eastAsia="宋体" w:cs="宋体"/>
          <w:snapToGrid/>
          <w:kern w:val="2"/>
          <w:szCs w:val="21"/>
          <w:lang w:eastAsia="zh-CN"/>
        </w:rPr>
        <w:t>品牌、规格型号、技术性能、配置、质量、数量等要求。</w:t>
      </w:r>
      <w:r>
        <w:rPr>
          <w:rFonts w:hint="eastAsia" w:ascii="宋体" w:hAnsi="宋体" w:eastAsia="宋体" w:cs="Times New Roman"/>
          <w:snapToGrid/>
          <w:color w:val="auto"/>
          <w:kern w:val="2"/>
          <w:szCs w:val="21"/>
          <w:highlight w:val="none"/>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D9157B2">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047A08FE">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（3）乙方所提供的货物应符合国家有关安全、环保、卫生的规定。</w:t>
      </w:r>
    </w:p>
    <w:p w14:paraId="4D3DDDD9">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（4）乙方应向甲方提交所提供货物的技术文件，包括相应的中文技术文件，如：产品目录、图纸、操作手册、使用说明、维护手册或服务指南等。上述文件应包装好随货物一同发运。</w:t>
      </w:r>
    </w:p>
    <w:p w14:paraId="03D8511B">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8.2 保证</w:t>
      </w:r>
    </w:p>
    <w:p w14:paraId="771648D7">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（1）乙方应保证提供的货物完全符合合同规定的质量、规格和性能要求。乙方应保证货物在正确安装、正常使用和保养条件下，</w:t>
      </w:r>
      <w:r>
        <w:rPr>
          <w:rFonts w:hint="eastAsia" w:ascii="宋体" w:hAnsi="宋体" w:eastAsia="宋体" w:cs="宋体"/>
          <w:snapToGrid/>
          <w:kern w:val="2"/>
          <w:szCs w:val="21"/>
          <w:lang w:eastAsia="zh-CN"/>
        </w:rPr>
        <w:t>在其使用寿命期内具备合同约定的性能</w:t>
      </w:r>
      <w:r>
        <w:rPr>
          <w:rFonts w:hint="eastAsia" w:ascii="宋体" w:hAnsi="宋体" w:eastAsia="宋体" w:cs="Times New Roman"/>
          <w:snapToGrid/>
          <w:color w:val="auto"/>
          <w:kern w:val="2"/>
          <w:szCs w:val="21"/>
          <w:highlight w:val="none"/>
          <w:lang w:eastAsia="zh-CN"/>
        </w:rPr>
        <w:t>。存在质量保证期的，货物最终交付验收合格后在</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规定或乙方书面承诺（两者以较长的为准）的质量保证期内，本保证保持有效。</w:t>
      </w:r>
    </w:p>
    <w:p w14:paraId="22C25A65">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（2）在质量保证期内所发现的缺陷，甲方应尽快以书面形式通知乙方。</w:t>
      </w:r>
    </w:p>
    <w:p w14:paraId="4C646BC2">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（3）乙方收到通知后，应在</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规定的响应时间内以合理的速度免费维修或更换有缺陷的货物或部件。</w:t>
      </w:r>
    </w:p>
    <w:p w14:paraId="29C6C4B9">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snapToGrid/>
          <w:color w:val="000000"/>
          <w:kern w:val="2"/>
          <w:szCs w:val="21"/>
          <w:highlight w:val="none"/>
          <w:lang w:val="en-US" w:eastAsia="zh-CN"/>
        </w:rPr>
        <w:t>5</w:t>
      </w:r>
      <w:r>
        <w:rPr>
          <w:rFonts w:hint="eastAsia" w:ascii="宋体" w:hAnsi="宋体" w:eastAsia="宋体" w:cs="Times New Roman"/>
          <w:snapToGrid/>
          <w:color w:val="auto"/>
          <w:kern w:val="2"/>
          <w:szCs w:val="21"/>
          <w:highlight w:val="none"/>
          <w:lang w:eastAsia="zh-CN"/>
        </w:rPr>
        <w:t>.1条规定以书面形式</w:t>
      </w:r>
      <w:r>
        <w:rPr>
          <w:rFonts w:hint="eastAsia" w:ascii="宋体" w:hAnsi="宋体" w:eastAsia="宋体" w:cs="Times New Roman"/>
          <w:snapToGrid/>
          <w:color w:val="000000"/>
          <w:kern w:val="2"/>
          <w:szCs w:val="21"/>
          <w:highlight w:val="none"/>
          <w:lang w:eastAsia="zh-CN"/>
        </w:rPr>
        <w:t>追究</w:t>
      </w:r>
      <w:r>
        <w:rPr>
          <w:rFonts w:hint="eastAsia" w:ascii="宋体" w:hAnsi="宋体" w:eastAsia="宋体" w:cs="Times New Roman"/>
          <w:snapToGrid/>
          <w:color w:val="auto"/>
          <w:kern w:val="2"/>
          <w:szCs w:val="21"/>
          <w:highlight w:val="none"/>
          <w:lang w:eastAsia="zh-CN"/>
        </w:rPr>
        <w:t>乙方</w:t>
      </w:r>
      <w:r>
        <w:rPr>
          <w:rFonts w:hint="eastAsia" w:ascii="宋体" w:hAnsi="宋体" w:eastAsia="宋体" w:cs="Times New Roman"/>
          <w:snapToGrid/>
          <w:color w:val="000000"/>
          <w:kern w:val="2"/>
          <w:szCs w:val="21"/>
          <w:highlight w:val="none"/>
          <w:lang w:eastAsia="zh-CN"/>
        </w:rPr>
        <w:t>的违约责任</w:t>
      </w:r>
      <w:r>
        <w:rPr>
          <w:rFonts w:hint="eastAsia" w:ascii="宋体" w:hAnsi="宋体" w:eastAsia="宋体" w:cs="Times New Roman"/>
          <w:snapToGrid/>
          <w:color w:val="auto"/>
          <w:kern w:val="2"/>
          <w:szCs w:val="21"/>
          <w:highlight w:val="none"/>
          <w:lang w:eastAsia="zh-CN"/>
        </w:rPr>
        <w:t>。</w:t>
      </w:r>
    </w:p>
    <w:p w14:paraId="083F5FDF">
      <w:pPr>
        <w:widowControl w:val="0"/>
        <w:kinsoku/>
        <w:autoSpaceDE/>
        <w:autoSpaceDN/>
        <w:adjustRightInd w:val="0"/>
        <w:snapToGrid w:val="0"/>
        <w:spacing w:before="0" w:line="400" w:lineRule="exact"/>
        <w:ind w:firstLine="420" w:firstLineChars="200"/>
        <w:jc w:val="left"/>
        <w:textAlignment w:val="auto"/>
        <w:rPr>
          <w:rFonts w:ascii="Times New Roman" w:hAnsi="Times New Roman"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1"/>
          <w:highlight w:val="none"/>
          <w:lang w:eastAsia="zh-CN"/>
        </w:rPr>
        <w:t>（5）乙方在约定的时间内未能弥补缺陷，甲方可采取必要的补救措施，但其风险和费用将由乙方承担，甲方根据合同约定对乙方行使的其他权利不受影响。</w:t>
      </w:r>
    </w:p>
    <w:p w14:paraId="5C1A078A">
      <w:pPr>
        <w:widowControl w:val="0"/>
        <w:kinsoku/>
        <w:autoSpaceDE/>
        <w:autoSpaceDN/>
        <w:adjustRightInd w:val="0"/>
        <w:snapToGrid w:val="0"/>
        <w:spacing w:before="0" w:line="400" w:lineRule="exact"/>
        <w:jc w:val="left"/>
        <w:textAlignment w:val="auto"/>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000000"/>
          <w:kern w:val="2"/>
          <w:sz w:val="24"/>
          <w:szCs w:val="24"/>
          <w:highlight w:val="none"/>
          <w:lang w:eastAsia="zh-CN"/>
        </w:rPr>
        <w:t>9</w:t>
      </w:r>
      <w:r>
        <w:rPr>
          <w:rFonts w:hint="eastAsia" w:ascii="宋体" w:hAnsi="宋体" w:eastAsia="宋体" w:cs="Times New Roman"/>
          <w:b/>
          <w:bCs/>
          <w:snapToGrid/>
          <w:color w:val="auto"/>
          <w:kern w:val="2"/>
          <w:sz w:val="24"/>
          <w:szCs w:val="24"/>
          <w:highlight w:val="none"/>
          <w:lang w:eastAsia="zh-CN"/>
        </w:rPr>
        <w:t>.</w:t>
      </w:r>
      <w:r>
        <w:rPr>
          <w:rFonts w:hint="eastAsia" w:ascii="宋体" w:hAnsi="宋体" w:eastAsia="宋体" w:cs="Times New Roman"/>
          <w:b/>
          <w:bCs/>
          <w:snapToGrid/>
          <w:color w:val="000000"/>
          <w:kern w:val="2"/>
          <w:sz w:val="24"/>
          <w:szCs w:val="24"/>
          <w:highlight w:val="none"/>
          <w:lang w:val="en-US" w:eastAsia="zh-CN"/>
        </w:rPr>
        <w:t xml:space="preserve"> </w:t>
      </w:r>
      <w:r>
        <w:rPr>
          <w:rFonts w:hint="eastAsia" w:ascii="宋体" w:hAnsi="宋体" w:eastAsia="宋体" w:cs="Times New Roman"/>
          <w:b/>
          <w:bCs/>
          <w:snapToGrid/>
          <w:color w:val="auto"/>
          <w:kern w:val="2"/>
          <w:sz w:val="24"/>
          <w:szCs w:val="24"/>
          <w:highlight w:val="none"/>
          <w:lang w:eastAsia="zh-CN"/>
        </w:rPr>
        <w:t>权利瑕疵担保</w:t>
      </w:r>
    </w:p>
    <w:p w14:paraId="51455759">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9.1 乙方保证对其出售的货物享有合法的权利。</w:t>
      </w:r>
    </w:p>
    <w:p w14:paraId="26A7890C">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 xml:space="preserve">9.2 </w:t>
      </w:r>
      <w:r>
        <w:rPr>
          <w:rFonts w:hint="eastAsia" w:ascii="宋体" w:hAnsi="宋体" w:eastAsia="宋体" w:cs="宋体"/>
          <w:snapToGrid/>
          <w:kern w:val="2"/>
          <w:szCs w:val="15"/>
          <w:lang w:eastAsia="zh-CN"/>
        </w:rPr>
        <w:t>乙方保证在交付的货物上不存在抵押权等担保物权。</w:t>
      </w:r>
    </w:p>
    <w:p w14:paraId="79C1DD09">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000000"/>
          <w:kern w:val="2"/>
          <w:szCs w:val="21"/>
          <w:highlight w:val="none"/>
          <w:lang w:eastAsia="zh-CN"/>
        </w:rPr>
      </w:pPr>
      <w:r>
        <w:rPr>
          <w:rFonts w:hint="eastAsia" w:ascii="宋体" w:hAnsi="宋体" w:eastAsia="宋体" w:cs="Times New Roman"/>
          <w:snapToGrid/>
          <w:color w:val="000000"/>
          <w:kern w:val="2"/>
          <w:szCs w:val="21"/>
          <w:highlight w:val="none"/>
          <w:lang w:eastAsia="zh-CN"/>
        </w:rPr>
        <w:t>9.3 如甲方使用</w:t>
      </w:r>
      <w:r>
        <w:rPr>
          <w:rFonts w:hint="eastAsia" w:ascii="宋体" w:hAnsi="宋体" w:eastAsia="宋体" w:cs="Times New Roman"/>
          <w:snapToGrid/>
          <w:color w:val="000000"/>
          <w:kern w:val="2"/>
          <w:szCs w:val="21"/>
          <w:highlight w:val="none"/>
          <w:lang w:val="en-US" w:eastAsia="zh-CN"/>
        </w:rPr>
        <w:t>上述</w:t>
      </w:r>
      <w:r>
        <w:rPr>
          <w:rFonts w:hint="eastAsia" w:ascii="宋体" w:hAnsi="宋体" w:eastAsia="宋体" w:cs="Times New Roman"/>
          <w:snapToGrid/>
          <w:color w:val="000000"/>
          <w:kern w:val="2"/>
          <w:szCs w:val="21"/>
          <w:highlight w:val="none"/>
          <w:lang w:eastAsia="zh-CN"/>
        </w:rPr>
        <w:t>货物构成</w:t>
      </w:r>
      <w:r>
        <w:rPr>
          <w:rFonts w:hint="eastAsia" w:ascii="宋体" w:hAnsi="宋体" w:eastAsia="宋体" w:cs="Times New Roman"/>
          <w:snapToGrid/>
          <w:color w:val="000000"/>
          <w:kern w:val="2"/>
          <w:szCs w:val="21"/>
          <w:highlight w:val="none"/>
          <w:lang w:val="en-US" w:eastAsia="zh-CN"/>
        </w:rPr>
        <w:t>对第三人</w:t>
      </w:r>
      <w:r>
        <w:rPr>
          <w:rFonts w:hint="eastAsia" w:ascii="宋体" w:hAnsi="宋体" w:eastAsia="宋体" w:cs="Times New Roman"/>
          <w:snapToGrid/>
          <w:color w:val="000000"/>
          <w:kern w:val="2"/>
          <w:szCs w:val="21"/>
          <w:highlight w:val="none"/>
          <w:lang w:eastAsia="zh-CN"/>
        </w:rPr>
        <w:t>侵权的，则由乙方承担全部责任。</w:t>
      </w:r>
    </w:p>
    <w:p w14:paraId="11E7D693">
      <w:pPr>
        <w:widowControl w:val="0"/>
        <w:kinsoku/>
        <w:autoSpaceDE w:val="0"/>
        <w:autoSpaceDN w:val="0"/>
        <w:adjustRightInd w:val="0"/>
        <w:snapToGrid w:val="0"/>
        <w:spacing w:before="0" w:line="400" w:lineRule="exact"/>
        <w:jc w:val="left"/>
        <w:textAlignment w:val="auto"/>
        <w:rPr>
          <w:rFonts w:ascii="宋体" w:hAnsi="宋体" w:eastAsia="宋体" w:cs="Times New Roman"/>
          <w:b/>
          <w:bCs/>
          <w:snapToGrid/>
          <w:color w:val="000000"/>
          <w:kern w:val="2"/>
          <w:sz w:val="24"/>
          <w:szCs w:val="24"/>
          <w:highlight w:val="none"/>
          <w:lang w:eastAsia="zh-CN"/>
        </w:rPr>
      </w:pPr>
      <w:r>
        <w:rPr>
          <w:rFonts w:hint="eastAsia" w:ascii="宋体" w:hAnsi="宋体" w:eastAsia="宋体" w:cs="Times New Roman"/>
          <w:b/>
          <w:bCs/>
          <w:snapToGrid/>
          <w:color w:val="000000"/>
          <w:kern w:val="2"/>
          <w:sz w:val="24"/>
          <w:szCs w:val="24"/>
          <w:highlight w:val="none"/>
          <w:lang w:eastAsia="zh-CN"/>
        </w:rPr>
        <w:t>10.</w:t>
      </w:r>
      <w:r>
        <w:rPr>
          <w:rFonts w:hint="eastAsia" w:ascii="宋体" w:hAnsi="宋体" w:eastAsia="宋体" w:cs="Times New Roman"/>
          <w:b/>
          <w:bCs/>
          <w:snapToGrid/>
          <w:color w:val="000000"/>
          <w:kern w:val="2"/>
          <w:sz w:val="24"/>
          <w:szCs w:val="24"/>
          <w:highlight w:val="none"/>
          <w:lang w:val="en-US" w:eastAsia="zh-CN"/>
        </w:rPr>
        <w:t xml:space="preserve"> </w:t>
      </w:r>
      <w:r>
        <w:rPr>
          <w:rFonts w:hint="eastAsia" w:ascii="宋体" w:hAnsi="宋体" w:eastAsia="宋体" w:cs="Times New Roman"/>
          <w:b/>
          <w:bCs/>
          <w:snapToGrid/>
          <w:color w:val="000000"/>
          <w:kern w:val="2"/>
          <w:sz w:val="24"/>
          <w:szCs w:val="24"/>
          <w:highlight w:val="none"/>
          <w:lang w:eastAsia="zh-CN"/>
        </w:rPr>
        <w:t>知识产权保护</w:t>
      </w:r>
    </w:p>
    <w:p w14:paraId="1D54E0B5">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000000"/>
          <w:kern w:val="2"/>
          <w:szCs w:val="21"/>
          <w:highlight w:val="none"/>
          <w:lang w:eastAsia="zh-CN"/>
        </w:rPr>
        <w:t>10.1 乙方对其所销售的货物应当享有知识产权或经权利人合法授权，保证没有侵犯任</w:t>
      </w:r>
      <w:r>
        <w:rPr>
          <w:rFonts w:hint="eastAsia" w:ascii="宋体" w:hAnsi="宋体" w:eastAsia="宋体" w:cs="Times New Roman"/>
          <w:snapToGrid/>
          <w:color w:val="auto"/>
          <w:kern w:val="2"/>
          <w:szCs w:val="21"/>
          <w:highlight w:val="none"/>
          <w:lang w:eastAsia="zh-CN"/>
        </w:rPr>
        <w:t>何第三人的知识产权等权利。</w:t>
      </w:r>
      <w:bookmarkStart w:id="140" w:name="_Hlk163047038"/>
      <w:r>
        <w:rPr>
          <w:rFonts w:hint="eastAsia" w:ascii="宋体" w:hAnsi="宋体" w:eastAsia="宋体" w:cs="宋体"/>
          <w:snapToGrid/>
          <w:kern w:val="2"/>
          <w:szCs w:val="15"/>
          <w:lang w:eastAsia="zh-CN"/>
        </w:rPr>
        <w:t>因违反前述约定对第三人构成侵权的，应当由乙方向第三人承担法律责任；甲方依法向第三人赔偿后，有权向乙方追偿。甲方有其他损失的，乙方应当赔偿</w:t>
      </w:r>
      <w:bookmarkEnd w:id="140"/>
      <w:r>
        <w:rPr>
          <w:rFonts w:hint="eastAsia" w:ascii="宋体" w:hAnsi="宋体" w:eastAsia="宋体" w:cs="Times New Roman"/>
          <w:snapToGrid/>
          <w:color w:val="auto"/>
          <w:kern w:val="2"/>
          <w:szCs w:val="21"/>
          <w:highlight w:val="none"/>
          <w:lang w:eastAsia="zh-CN"/>
        </w:rPr>
        <w:t>。</w:t>
      </w:r>
    </w:p>
    <w:p w14:paraId="377EC814">
      <w:pPr>
        <w:widowControl w:val="0"/>
        <w:kinsoku/>
        <w:autoSpaceDE w:val="0"/>
        <w:autoSpaceDN w:val="0"/>
        <w:adjustRightInd w:val="0"/>
        <w:snapToGrid w:val="0"/>
        <w:spacing w:before="0" w:line="400" w:lineRule="exact"/>
        <w:jc w:val="left"/>
        <w:textAlignment w:val="auto"/>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11.</w:t>
      </w:r>
      <w:r>
        <w:rPr>
          <w:rFonts w:hint="eastAsia" w:ascii="宋体" w:hAnsi="宋体" w:eastAsia="宋体" w:cs="Times New Roman"/>
          <w:b/>
          <w:bCs/>
          <w:snapToGrid/>
          <w:color w:val="auto"/>
          <w:kern w:val="2"/>
          <w:sz w:val="24"/>
          <w:szCs w:val="24"/>
          <w:highlight w:val="none"/>
          <w:lang w:val="en-US" w:eastAsia="zh-CN"/>
        </w:rPr>
        <w:t xml:space="preserve"> </w:t>
      </w:r>
      <w:r>
        <w:rPr>
          <w:rFonts w:hint="eastAsia" w:ascii="宋体" w:hAnsi="宋体" w:eastAsia="宋体" w:cs="Times New Roman"/>
          <w:b/>
          <w:bCs/>
          <w:snapToGrid/>
          <w:color w:val="auto"/>
          <w:kern w:val="2"/>
          <w:sz w:val="24"/>
          <w:szCs w:val="24"/>
          <w:highlight w:val="none"/>
          <w:lang w:eastAsia="zh-CN"/>
        </w:rPr>
        <w:t>保密义务</w:t>
      </w:r>
    </w:p>
    <w:p w14:paraId="533F5050">
      <w:pPr>
        <w:widowControl w:val="0"/>
        <w:kinsoku/>
        <w:autoSpaceDE w:val="0"/>
        <w:autoSpaceDN w:val="0"/>
        <w:adjustRightInd w:val="0"/>
        <w:snapToGrid w:val="0"/>
        <w:spacing w:before="0" w:line="400" w:lineRule="exact"/>
        <w:ind w:firstLine="420" w:firstLineChars="200"/>
        <w:jc w:val="left"/>
        <w:textAlignment w:val="auto"/>
        <w:rPr>
          <w:rFonts w:hint="eastAsia" w:ascii="宋体" w:hAnsi="宋体" w:eastAsia="宋体" w:cs="宋体"/>
          <w:snapToGrid/>
          <w:kern w:val="2"/>
          <w:szCs w:val="15"/>
          <w:lang w:eastAsia="zh-CN"/>
        </w:rPr>
      </w:pPr>
      <w:r>
        <w:rPr>
          <w:rFonts w:hint="eastAsia" w:ascii="宋体" w:hAnsi="宋体" w:eastAsia="宋体" w:cs="宋体"/>
          <w:snapToGrid/>
          <w:kern w:val="2"/>
          <w:szCs w:val="15"/>
          <w:lang w:val="en-US" w:eastAsia="zh-CN"/>
        </w:rPr>
        <w:t xml:space="preserve">11.1 </w:t>
      </w:r>
      <w:r>
        <w:rPr>
          <w:rFonts w:hint="eastAsia" w:ascii="宋体" w:hAnsi="宋体" w:eastAsia="宋体" w:cs="宋体"/>
          <w:snapToGrid/>
          <w:kern w:val="2"/>
          <w:szCs w:val="15"/>
          <w:lang w:eastAsia="zh-CN"/>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napToGrid/>
          <w:kern w:val="2"/>
          <w:szCs w:val="15"/>
          <w:lang w:eastAsia="zh-CN"/>
        </w:rPr>
        <w:t>【政府采购合同专用条款】</w:t>
      </w:r>
      <w:r>
        <w:rPr>
          <w:rFonts w:hint="eastAsia" w:ascii="宋体" w:hAnsi="宋体" w:eastAsia="宋体" w:cs="宋体"/>
          <w:snapToGrid/>
          <w:kern w:val="2"/>
          <w:szCs w:val="15"/>
          <w:lang w:eastAsia="zh-CN"/>
        </w:rPr>
        <w:t>中约定。</w:t>
      </w:r>
    </w:p>
    <w:p w14:paraId="4EC33305">
      <w:pPr>
        <w:widowControl w:val="0"/>
        <w:kinsoku/>
        <w:autoSpaceDE w:val="0"/>
        <w:autoSpaceDN w:val="0"/>
        <w:adjustRightInd w:val="0"/>
        <w:snapToGrid w:val="0"/>
        <w:spacing w:before="0" w:line="400" w:lineRule="exact"/>
        <w:jc w:val="left"/>
        <w:textAlignment w:val="auto"/>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12.</w:t>
      </w:r>
      <w:r>
        <w:rPr>
          <w:rFonts w:hint="eastAsia" w:ascii="宋体" w:hAnsi="宋体" w:eastAsia="宋体" w:cs="Times New Roman"/>
          <w:b/>
          <w:bCs/>
          <w:snapToGrid/>
          <w:color w:val="auto"/>
          <w:kern w:val="2"/>
          <w:sz w:val="24"/>
          <w:szCs w:val="24"/>
          <w:highlight w:val="none"/>
          <w:lang w:val="en-US" w:eastAsia="zh-CN"/>
        </w:rPr>
        <w:t xml:space="preserve"> </w:t>
      </w:r>
      <w:r>
        <w:rPr>
          <w:rFonts w:hint="eastAsia" w:ascii="宋体" w:hAnsi="宋体" w:eastAsia="宋体" w:cs="Times New Roman"/>
          <w:b/>
          <w:bCs/>
          <w:snapToGrid/>
          <w:color w:val="auto"/>
          <w:kern w:val="2"/>
          <w:sz w:val="24"/>
          <w:szCs w:val="24"/>
          <w:highlight w:val="none"/>
          <w:lang w:eastAsia="zh-CN"/>
        </w:rPr>
        <w:t>合同价款支付</w:t>
      </w:r>
    </w:p>
    <w:p w14:paraId="57F2F8AC">
      <w:pPr>
        <w:widowControl w:val="0"/>
        <w:kinsoku/>
        <w:autoSpaceDE/>
        <w:autoSpaceDN/>
        <w:adjustRightInd w:val="0"/>
        <w:snapToGrid w:val="0"/>
        <w:spacing w:before="0" w:line="400" w:lineRule="exact"/>
        <w:ind w:firstLine="420" w:firstLineChars="200"/>
        <w:jc w:val="left"/>
        <w:textAlignment w:val="auto"/>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12.1 合同价款支付按照国库集中支付制度及财政管理相关规定执行。</w:t>
      </w:r>
    </w:p>
    <w:p w14:paraId="7F9C4104">
      <w:pPr>
        <w:keepNext/>
        <w:keepLines/>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705B9F6D">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0467C9BD">
      <w:pPr>
        <w:widowControl w:val="0"/>
        <w:kinsoku/>
        <w:autoSpaceDE/>
        <w:autoSpaceDN/>
        <w:adjustRightInd w:val="0"/>
        <w:snapToGrid w:val="0"/>
        <w:spacing w:before="0" w:line="400" w:lineRule="exact"/>
        <w:ind w:firstLine="420" w:firstLineChars="200"/>
        <w:jc w:val="left"/>
        <w:textAlignment w:val="auto"/>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 xml:space="preserve">13.1 </w:t>
      </w:r>
      <w:r>
        <w:rPr>
          <w:rFonts w:hint="eastAsia" w:ascii="宋体" w:hAnsi="宋体" w:eastAsia="宋体" w:cs="宋体"/>
          <w:snapToGrid/>
          <w:kern w:val="2"/>
          <w:szCs w:val="15"/>
          <w:lang w:eastAsia="zh-CN"/>
        </w:rPr>
        <w:t>乙方应当以支票、汇票、本票或者金融机构、担保机构出具的保函等非现金形式提交。</w:t>
      </w:r>
    </w:p>
    <w:p w14:paraId="147E47A5">
      <w:pPr>
        <w:widowControl w:val="0"/>
        <w:kinsoku/>
        <w:autoSpaceDE/>
        <w:autoSpaceDN/>
        <w:adjustRightInd w:val="0"/>
        <w:snapToGrid w:val="0"/>
        <w:spacing w:before="0" w:line="400" w:lineRule="exact"/>
        <w:ind w:firstLine="420" w:firstLineChars="200"/>
        <w:jc w:val="left"/>
        <w:textAlignment w:val="auto"/>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13.2 如果乙方出现</w:t>
      </w:r>
      <w:r>
        <w:rPr>
          <w:rFonts w:hint="eastAsia" w:ascii="宋体" w:hAnsi="宋体" w:eastAsia="宋体" w:cs="宋体"/>
          <w:b/>
          <w:bCs/>
          <w:snapToGrid/>
          <w:kern w:val="2"/>
          <w:szCs w:val="15"/>
          <w:highlight w:val="none"/>
          <w:lang w:eastAsia="zh-CN"/>
        </w:rPr>
        <w:t>【政府采购合同专用条款】</w:t>
      </w:r>
      <w:r>
        <w:rPr>
          <w:rFonts w:hint="eastAsia" w:ascii="宋体" w:hAnsi="宋体" w:eastAsia="宋体" w:cs="宋体"/>
          <w:b w:val="0"/>
          <w:bCs w:val="0"/>
          <w:snapToGrid/>
          <w:kern w:val="2"/>
          <w:szCs w:val="15"/>
          <w:highlight w:val="none"/>
          <w:lang w:eastAsia="zh-CN"/>
        </w:rPr>
        <w:t>约定</w:t>
      </w:r>
      <w:r>
        <w:rPr>
          <w:rFonts w:hint="eastAsia" w:ascii="宋体" w:hAnsi="宋体" w:eastAsia="宋体" w:cs="宋体"/>
          <w:b w:val="0"/>
          <w:bCs w:val="0"/>
          <w:snapToGrid/>
          <w:kern w:val="2"/>
          <w:szCs w:val="15"/>
          <w:lang w:eastAsia="zh-CN"/>
        </w:rPr>
        <w:t>情形的</w:t>
      </w:r>
      <w:r>
        <w:rPr>
          <w:rFonts w:hint="eastAsia" w:ascii="宋体" w:hAnsi="宋体" w:eastAsia="宋体" w:cs="Times New Roman"/>
          <w:snapToGrid/>
          <w:color w:val="auto"/>
          <w:kern w:val="2"/>
          <w:szCs w:val="21"/>
          <w:highlight w:val="none"/>
          <w:lang w:eastAsia="zh-CN"/>
        </w:rPr>
        <w:t>，履约保证金不予退还；如果乙方未能按合同约定全面履行义务，甲方有权从履约保证金中取得补偿或赔偿，且不影响甲方要求乙方承担合同约定的超过履约保证金的违约责任的权利。</w:t>
      </w:r>
    </w:p>
    <w:p w14:paraId="11B874F5">
      <w:pPr>
        <w:widowControl w:val="0"/>
        <w:kinsoku/>
        <w:autoSpaceDE/>
        <w:autoSpaceDN/>
        <w:adjustRightInd/>
        <w:snapToGrid/>
        <w:spacing w:line="400" w:lineRule="exact"/>
        <w:ind w:firstLine="420"/>
        <w:jc w:val="both"/>
        <w:textAlignment w:val="auto"/>
        <w:rPr>
          <w:rFonts w:ascii="Times New Roman" w:hAnsi="Times New Roman" w:eastAsia="宋体" w:cs="Times New Roman"/>
          <w:snapToGrid/>
          <w:color w:val="auto"/>
          <w:kern w:val="2"/>
          <w:szCs w:val="24"/>
          <w:highlight w:val="none"/>
          <w:lang w:eastAsia="zh-CN"/>
        </w:rPr>
      </w:pPr>
      <w:r>
        <w:rPr>
          <w:rFonts w:hint="eastAsia" w:ascii="宋体" w:hAnsi="宋体" w:eastAsia="宋体" w:cs="Times New Roman"/>
          <w:snapToGrid/>
          <w:color w:val="auto"/>
          <w:kern w:val="2"/>
          <w:szCs w:val="21"/>
          <w:highlight w:val="none"/>
          <w:lang w:eastAsia="zh-CN"/>
        </w:rPr>
        <w:t>13.3 甲方在项目通过验收后按照</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规定的时间内将履约保证金退还乙方；逾期退还的，乙方可要求甲方支付违约金，违约金按照</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规定支付。</w:t>
      </w:r>
    </w:p>
    <w:p w14:paraId="1A05C838">
      <w:pPr>
        <w:widowControl w:val="0"/>
        <w:kinsoku/>
        <w:autoSpaceDE w:val="0"/>
        <w:autoSpaceDN w:val="0"/>
        <w:adjustRightInd w:val="0"/>
        <w:snapToGrid w:val="0"/>
        <w:spacing w:before="0" w:line="400" w:lineRule="exact"/>
        <w:jc w:val="left"/>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14.</w:t>
      </w:r>
      <w:r>
        <w:rPr>
          <w:rFonts w:hint="eastAsia" w:ascii="宋体" w:hAnsi="宋体" w:eastAsia="宋体" w:cs="Times New Roman"/>
          <w:b/>
          <w:bCs/>
          <w:snapToGrid/>
          <w:color w:val="auto"/>
          <w:kern w:val="2"/>
          <w:sz w:val="24"/>
          <w:szCs w:val="24"/>
          <w:highlight w:val="none"/>
          <w:lang w:val="en-US" w:eastAsia="zh-CN"/>
        </w:rPr>
        <w:t xml:space="preserve"> </w:t>
      </w:r>
      <w:r>
        <w:rPr>
          <w:rFonts w:hint="eastAsia" w:ascii="Times New Roman" w:hAnsi="Times New Roman" w:eastAsia="宋体" w:cs="Times New Roman"/>
          <w:b/>
          <w:snapToGrid/>
          <w:color w:val="auto"/>
          <w:kern w:val="2"/>
          <w:sz w:val="24"/>
          <w:szCs w:val="24"/>
          <w:highlight w:val="none"/>
          <w:lang w:eastAsia="zh-CN"/>
        </w:rPr>
        <w:t>售后</w:t>
      </w:r>
      <w:r>
        <w:rPr>
          <w:rFonts w:hint="eastAsia" w:ascii="宋体" w:hAnsi="宋体" w:eastAsia="宋体" w:cs="Times New Roman"/>
          <w:b/>
          <w:snapToGrid/>
          <w:color w:val="auto"/>
          <w:kern w:val="2"/>
          <w:sz w:val="24"/>
          <w:szCs w:val="24"/>
          <w:highlight w:val="none"/>
          <w:lang w:eastAsia="zh-CN"/>
        </w:rPr>
        <w:t>服务</w:t>
      </w:r>
    </w:p>
    <w:p w14:paraId="7BD89D15">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14.1 除项目不涉及或采购活动中明确约定无须承担外，乙方还应提供下列服务：</w:t>
      </w:r>
    </w:p>
    <w:p w14:paraId="18C3FA35">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（1）货物的现场移动、安装、调试、启动监督及技术支持；</w:t>
      </w:r>
    </w:p>
    <w:p w14:paraId="5382194F">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（2）提供货物组装和维修所需的专用工具和辅助材料；</w:t>
      </w:r>
    </w:p>
    <w:p w14:paraId="6BE484C3">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（3）在</w:t>
      </w:r>
      <w:r>
        <w:rPr>
          <w:rFonts w:hint="eastAsia" w:ascii="宋体" w:hAnsi="宋体" w:eastAsia="宋体" w:cs="宋体"/>
          <w:b/>
          <w:bCs/>
          <w:snapToGrid/>
          <w:kern w:val="2"/>
          <w:szCs w:val="15"/>
          <w:highlight w:val="none"/>
          <w:lang w:eastAsia="zh-CN"/>
        </w:rPr>
        <w:t>【政府采购合同专用条款】</w:t>
      </w:r>
      <w:r>
        <w:rPr>
          <w:rFonts w:hint="eastAsia" w:ascii="宋体" w:hAnsi="宋体" w:eastAsia="宋体" w:cs="Times New Roman"/>
          <w:snapToGrid/>
          <w:color w:val="auto"/>
          <w:kern w:val="2"/>
          <w:szCs w:val="21"/>
          <w:highlight w:val="none"/>
          <w:lang w:eastAsia="zh-CN"/>
        </w:rPr>
        <w:t>约定的期限内对所有的货物实施运行监督、维修，但前提条件是该服务并不能免除乙方在质量保证期内所承担的义务；</w:t>
      </w:r>
    </w:p>
    <w:p w14:paraId="28EF3682">
      <w:pPr>
        <w:widowControl w:val="0"/>
        <w:kinsoku/>
        <w:autoSpaceDE w:val="0"/>
        <w:autoSpaceDN w:val="0"/>
        <w:adjustRightInd w:val="0"/>
        <w:snapToGrid w:val="0"/>
        <w:spacing w:before="0" w:line="400" w:lineRule="exact"/>
        <w:ind w:firstLine="420" w:firstLineChars="200"/>
        <w:jc w:val="left"/>
        <w:textAlignment w:val="auto"/>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（4）在制造商所在地或指定现场就货物的安装、启动、运营、维护、废弃处置等对甲方操作人员进行培训</w:t>
      </w:r>
      <w:r>
        <w:rPr>
          <w:rFonts w:hint="eastAsia" w:ascii="宋体" w:hAnsi="宋体" w:eastAsia="宋体" w:cs="宋体"/>
          <w:snapToGrid/>
          <w:kern w:val="2"/>
          <w:szCs w:val="15"/>
          <w:lang w:eastAsia="zh-CN"/>
        </w:rPr>
        <w:t>；</w:t>
      </w:r>
    </w:p>
    <w:p w14:paraId="13ABD066">
      <w:pPr>
        <w:autoSpaceDE w:val="0"/>
        <w:autoSpaceDN w:val="0"/>
        <w:adjustRightInd w:val="0"/>
        <w:spacing w:line="400" w:lineRule="exact"/>
        <w:ind w:firstLine="420" w:firstLineChars="20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（5）依照法律、行政法规的规定或者按照</w:t>
      </w:r>
      <w:r>
        <w:rPr>
          <w:rFonts w:hint="eastAsia" w:ascii="宋体" w:hAnsi="宋体" w:eastAsia="宋体" w:cs="宋体"/>
          <w:b/>
          <w:bCs/>
          <w:sz w:val="21"/>
          <w:szCs w:val="21"/>
          <w:lang w:val="en-US" w:eastAsia="zh-CN" w:bidi="ar-SA"/>
        </w:rPr>
        <w:t>【政府采购合同专用条款】</w:t>
      </w:r>
      <w:r>
        <w:rPr>
          <w:rFonts w:hint="eastAsia" w:ascii="宋体" w:hAnsi="宋体" w:eastAsia="宋体" w:cs="宋体"/>
          <w:sz w:val="21"/>
          <w:szCs w:val="21"/>
          <w:lang w:val="en-US" w:eastAsia="zh-CN" w:bidi="ar-SA"/>
        </w:rPr>
        <w:t>约定，货物在有效使用年限届满后应予回收的，乙方负有自行或者委托第三人对货物予以回收的义务；</w:t>
      </w:r>
    </w:p>
    <w:p w14:paraId="0057E0DE">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规定由乙方提供的其他服务。</w:t>
      </w:r>
    </w:p>
    <w:p w14:paraId="2B0262E5">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4</w:t>
      </w:r>
      <w:r>
        <w:rPr>
          <w:rFonts w:hint="eastAsia" w:ascii="宋体" w:hAnsi="宋体" w:eastAsia="宋体" w:cs="Times New Roman"/>
          <w:snapToGrid/>
          <w:color w:val="auto"/>
          <w:kern w:val="2"/>
          <w:szCs w:val="21"/>
          <w:highlight w:val="none"/>
          <w:lang w:eastAsia="zh-CN"/>
        </w:rPr>
        <w:t>.2 乙方提供的售后服务的费用</w:t>
      </w:r>
      <w:r>
        <w:rPr>
          <w:rFonts w:hint="eastAsia" w:ascii="宋体" w:hAnsi="宋体" w:eastAsia="宋体" w:cs="Times New Roman"/>
          <w:snapToGrid/>
          <w:color w:val="auto"/>
          <w:kern w:val="2"/>
          <w:szCs w:val="21"/>
          <w:highlight w:val="none"/>
          <w:lang w:val="en-US" w:eastAsia="zh-CN"/>
        </w:rPr>
        <w:t>已</w:t>
      </w:r>
      <w:r>
        <w:rPr>
          <w:rFonts w:hint="eastAsia" w:ascii="宋体" w:hAnsi="宋体" w:eastAsia="宋体" w:cs="Times New Roman"/>
          <w:snapToGrid/>
          <w:color w:val="auto"/>
          <w:kern w:val="2"/>
          <w:szCs w:val="21"/>
          <w:highlight w:val="none"/>
          <w:lang w:eastAsia="zh-CN"/>
        </w:rPr>
        <w:t>包含在合同价款中，甲方不再另行支付。</w:t>
      </w:r>
    </w:p>
    <w:p w14:paraId="553E4B7F">
      <w:pPr>
        <w:widowControl w:val="0"/>
        <w:kinsoku/>
        <w:autoSpaceDE/>
        <w:autoSpaceDN/>
        <w:adjustRightInd w:val="0"/>
        <w:snapToGrid w:val="0"/>
        <w:spacing w:before="0" w:line="400" w:lineRule="exact"/>
        <w:jc w:val="left"/>
        <w:textAlignment w:val="auto"/>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15.</w:t>
      </w:r>
      <w:r>
        <w:rPr>
          <w:rFonts w:hint="eastAsia" w:ascii="宋体" w:hAnsi="宋体" w:eastAsia="宋体" w:cs="Times New Roman"/>
          <w:b/>
          <w:bCs/>
          <w:snapToGrid/>
          <w:color w:val="auto"/>
          <w:kern w:val="2"/>
          <w:sz w:val="24"/>
          <w:szCs w:val="24"/>
          <w:highlight w:val="none"/>
          <w:lang w:val="en-US" w:eastAsia="zh-CN"/>
        </w:rPr>
        <w:t xml:space="preserve"> </w:t>
      </w:r>
      <w:r>
        <w:rPr>
          <w:rFonts w:hint="eastAsia" w:ascii="宋体" w:hAnsi="宋体" w:eastAsia="宋体" w:cs="Times New Roman"/>
          <w:b/>
          <w:bCs/>
          <w:snapToGrid/>
          <w:color w:val="auto"/>
          <w:kern w:val="2"/>
          <w:sz w:val="24"/>
          <w:szCs w:val="24"/>
          <w:highlight w:val="none"/>
          <w:lang w:eastAsia="zh-CN"/>
        </w:rPr>
        <w:t>违约责任</w:t>
      </w:r>
    </w:p>
    <w:p w14:paraId="261EE459">
      <w:pPr>
        <w:widowControl w:val="0"/>
        <w:kinsoku/>
        <w:autoSpaceDE/>
        <w:autoSpaceDN/>
        <w:adjustRightInd w:val="0"/>
        <w:snapToGrid w:val="0"/>
        <w:spacing w:before="0" w:line="400" w:lineRule="exact"/>
        <w:ind w:firstLine="420" w:firstLineChars="200"/>
        <w:jc w:val="left"/>
        <w:textAlignment w:val="auto"/>
        <w:rPr>
          <w:rFonts w:hint="eastAsia" w:ascii="宋体" w:hAnsi="宋体" w:eastAsia="宋体" w:cs="Times New Roman"/>
          <w:bCs/>
          <w:snapToGrid/>
          <w:color w:val="auto"/>
          <w:kern w:val="2"/>
          <w:szCs w:val="21"/>
          <w:highlight w:val="none"/>
          <w:lang w:eastAsia="zh-CN"/>
        </w:rPr>
      </w:pPr>
      <w:r>
        <w:rPr>
          <w:rFonts w:hint="eastAsia" w:ascii="宋体" w:hAnsi="宋体" w:eastAsia="宋体" w:cs="Times New Roman"/>
          <w:bCs/>
          <w:snapToGrid/>
          <w:color w:val="auto"/>
          <w:kern w:val="2"/>
          <w:szCs w:val="21"/>
          <w:highlight w:val="none"/>
          <w:lang w:eastAsia="zh-CN"/>
        </w:rPr>
        <w:t>15.1质量瑕疵的违约责任</w:t>
      </w:r>
    </w:p>
    <w:p w14:paraId="1FC5F1E3">
      <w:pPr>
        <w:widowControl w:val="0"/>
        <w:kinsoku/>
        <w:autoSpaceDE w:val="0"/>
        <w:autoSpaceDN w:val="0"/>
        <w:adjustRightInd w:val="0"/>
        <w:snapToGrid w:val="0"/>
        <w:spacing w:before="0" w:line="400" w:lineRule="exact"/>
        <w:ind w:firstLine="420" w:firstLineChars="200"/>
        <w:jc w:val="left"/>
        <w:textAlignment w:val="auto"/>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乙方提供的产品不符合合同约定的质量标准或存在产品质量缺陷，甲方有权要求乙方根据</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 w:val="0"/>
          <w:bCs/>
          <w:snapToGrid/>
          <w:color w:val="auto"/>
          <w:kern w:val="2"/>
          <w:szCs w:val="21"/>
          <w:highlight w:val="none"/>
          <w:lang w:eastAsia="zh-CN"/>
        </w:rPr>
        <w:t>要求</w:t>
      </w:r>
      <w:r>
        <w:rPr>
          <w:rFonts w:hint="eastAsia" w:ascii="宋体" w:hAnsi="宋体" w:eastAsia="宋体" w:cs="Times New Roman"/>
          <w:snapToGrid/>
          <w:color w:val="auto"/>
          <w:kern w:val="2"/>
          <w:szCs w:val="21"/>
          <w:highlight w:val="none"/>
          <w:lang w:eastAsia="zh-CN"/>
        </w:rPr>
        <w:t>及时修理、重作、更换，并承担由此给甲方造成的损失。</w:t>
      </w:r>
    </w:p>
    <w:p w14:paraId="61C3EE7E">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bCs/>
          <w:snapToGrid/>
          <w:color w:val="auto"/>
          <w:kern w:val="2"/>
          <w:szCs w:val="21"/>
          <w:highlight w:val="none"/>
          <w:lang w:eastAsia="zh-CN"/>
        </w:rPr>
      </w:pPr>
      <w:r>
        <w:rPr>
          <w:rFonts w:hint="eastAsia" w:ascii="宋体" w:hAnsi="宋体" w:eastAsia="宋体" w:cs="Times New Roman"/>
          <w:bCs/>
          <w:snapToGrid/>
          <w:color w:val="auto"/>
          <w:kern w:val="2"/>
          <w:szCs w:val="21"/>
          <w:highlight w:val="none"/>
          <w:lang w:eastAsia="zh-CN"/>
        </w:rPr>
        <w:t>15.2 迟延交货的违约责任</w:t>
      </w:r>
    </w:p>
    <w:p w14:paraId="18D56C51">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4A0AE6F">
      <w:pPr>
        <w:widowControl w:val="0"/>
        <w:kinsoku/>
        <w:autoSpaceDE w:val="0"/>
        <w:autoSpaceDN w:val="0"/>
        <w:adjustRightInd w:val="0"/>
        <w:snapToGrid w:val="0"/>
        <w:spacing w:before="0" w:line="400" w:lineRule="exact"/>
        <w:ind w:firstLine="420" w:firstLineChars="200"/>
        <w:jc w:val="left"/>
        <w:textAlignment w:val="auto"/>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规定执行。如果涉及公共利益，且赔偿金额无法弥补公共利益损失，甲方可要求继续履行或者采取其他补救措施。</w:t>
      </w:r>
    </w:p>
    <w:p w14:paraId="48E69AC3">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15.3 迟延支付的违约责任</w:t>
      </w:r>
    </w:p>
    <w:p w14:paraId="64AB8C17">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甲方存在迟延支付乙方合同款项的，应当承担</w:t>
      </w:r>
      <w:r>
        <w:rPr>
          <w:rFonts w:hint="eastAsia" w:ascii="宋体" w:hAnsi="宋体" w:eastAsia="宋体" w:cs="Times New Roman"/>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规定的逾期付款利息。</w:t>
      </w:r>
    </w:p>
    <w:p w14:paraId="3A60EB8D">
      <w:pPr>
        <w:widowControl w:val="0"/>
        <w:kinsoku/>
        <w:autoSpaceDE/>
        <w:autoSpaceDN/>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bCs/>
          <w:snapToGrid/>
          <w:color w:val="auto"/>
          <w:kern w:val="2"/>
          <w:szCs w:val="21"/>
          <w:highlight w:val="none"/>
          <w:lang w:eastAsia="zh-CN"/>
        </w:rPr>
        <w:t>15.4其他违约责任根据项目实际需要按</w:t>
      </w:r>
      <w:r>
        <w:rPr>
          <w:rFonts w:hint="eastAsia" w:ascii="宋体" w:hAnsi="宋体" w:eastAsia="宋体" w:cs="Times New Roman"/>
          <w:b/>
          <w:bCs/>
          <w:snapToGrid/>
          <w:color w:val="auto"/>
          <w:kern w:val="2"/>
          <w:szCs w:val="21"/>
          <w:highlight w:val="none"/>
          <w:lang w:eastAsia="zh-CN"/>
        </w:rPr>
        <w:t>【政府采购合同专用条款】</w:t>
      </w:r>
      <w:r>
        <w:rPr>
          <w:rFonts w:hint="eastAsia" w:ascii="宋体" w:hAnsi="宋体" w:eastAsia="宋体" w:cs="Times New Roman"/>
          <w:snapToGrid/>
          <w:color w:val="auto"/>
          <w:kern w:val="2"/>
          <w:szCs w:val="21"/>
          <w:highlight w:val="none"/>
          <w:lang w:eastAsia="zh-CN"/>
        </w:rPr>
        <w:t>规定执行。</w:t>
      </w:r>
    </w:p>
    <w:p w14:paraId="5DC13F63">
      <w:pPr>
        <w:widowControl w:val="0"/>
        <w:numPr>
          <w:ilvl w:val="0"/>
          <w:numId w:val="6"/>
        </w:numPr>
        <w:kinsoku/>
        <w:autoSpaceDE w:val="0"/>
        <w:autoSpaceDN w:val="0"/>
        <w:adjustRightInd w:val="0"/>
        <w:snapToGrid w:val="0"/>
        <w:spacing w:before="0" w:line="400" w:lineRule="exact"/>
        <w:jc w:val="left"/>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合同变更、中止与终止</w:t>
      </w:r>
    </w:p>
    <w:p w14:paraId="644F3782">
      <w:pPr>
        <w:widowControl w:val="0"/>
        <w:kinsoku/>
        <w:autoSpaceDE/>
        <w:autoSpaceDN/>
        <w:adjustRightInd w:val="0"/>
        <w:snapToGrid w:val="0"/>
        <w:spacing w:before="0" w:line="400" w:lineRule="exact"/>
        <w:ind w:firstLine="0" w:firstLineChars="0"/>
        <w:jc w:val="left"/>
        <w:textAlignment w:val="auto"/>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val="en-US" w:eastAsia="zh-CN"/>
        </w:rPr>
        <w:t xml:space="preserve">    </w:t>
      </w: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.1合同的变更</w:t>
      </w:r>
    </w:p>
    <w:p w14:paraId="2CC88D10">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政府采购合同履行中，在不改变合同其他条款的前提下，甲方可以在合同价款10%的范围内追加与合同标的相同的货物，并就此与乙方协商一致后签订补充协议。</w:t>
      </w:r>
    </w:p>
    <w:p w14:paraId="04E2A445">
      <w:pPr>
        <w:widowControl w:val="0"/>
        <w:kinsoku/>
        <w:autoSpaceDE/>
        <w:autoSpaceDN/>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合同的中止</w:t>
      </w:r>
    </w:p>
    <w:p w14:paraId="1AC09FB5">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（1）合同履行过程中因供应商就采购文件、采购过程或结果提起投诉的，甲方认为有必要的，可以中止合同的履行。</w:t>
      </w:r>
    </w:p>
    <w:p w14:paraId="50BBA6C5">
      <w:pPr>
        <w:widowControl w:val="0"/>
        <w:kinsoku/>
        <w:autoSpaceDE w:val="0"/>
        <w:autoSpaceDN w:val="0"/>
        <w:adjustRightInd w:val="0"/>
        <w:snapToGrid w:val="0"/>
        <w:spacing w:before="0" w:line="400" w:lineRule="exact"/>
        <w:ind w:firstLine="420" w:firstLineChars="200"/>
        <w:jc w:val="left"/>
        <w:textAlignment w:val="auto"/>
        <w:rPr>
          <w:rFonts w:hint="eastAsia"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w:t>
      </w:r>
      <w:r>
        <w:rPr>
          <w:rFonts w:hint="eastAsia" w:ascii="宋体" w:hAnsi="宋体" w:eastAsia="宋体" w:cs="Times New Roman"/>
          <w:snapToGrid/>
          <w:color w:val="auto"/>
          <w:kern w:val="2"/>
          <w:szCs w:val="21"/>
          <w:highlight w:val="none"/>
          <w:lang w:val="en-US" w:eastAsia="zh-CN"/>
        </w:rPr>
        <w:t>合同履行过程中，</w:t>
      </w:r>
      <w:r>
        <w:rPr>
          <w:rFonts w:hint="eastAsia" w:ascii="宋体" w:hAnsi="宋体" w:eastAsia="宋体" w:cs="Times New Roman"/>
          <w:snapToGrid/>
          <w:color w:val="auto"/>
          <w:kern w:val="2"/>
          <w:szCs w:val="21"/>
          <w:highlight w:val="none"/>
          <w:lang w:eastAsia="zh-CN"/>
        </w:rPr>
        <w:t>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AC1A805">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2B328F12">
      <w:pPr>
        <w:widowControl w:val="0"/>
        <w:kinsoku/>
        <w:autoSpaceDE/>
        <w:autoSpaceDN/>
        <w:adjustRightInd/>
        <w:snapToGrid w:val="0"/>
        <w:spacing w:line="400" w:lineRule="exact"/>
        <w:ind w:firstLine="420" w:firstLineChars="200"/>
        <w:jc w:val="left"/>
        <w:textAlignment w:val="auto"/>
        <w:rPr>
          <w:rFonts w:ascii="Times New Roman" w:hAnsi="Times New Roman" w:eastAsia="宋体" w:cs="Times New Roman"/>
          <w:snapToGrid/>
          <w:kern w:val="2"/>
          <w:sz w:val="21"/>
          <w:szCs w:val="24"/>
          <w:lang w:eastAsia="zh-CN"/>
        </w:rPr>
      </w:pP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4</w:t>
      </w:r>
      <w:r>
        <w:rPr>
          <w:rFonts w:hint="eastAsia" w:ascii="宋体" w:hAnsi="宋体" w:eastAsia="宋体" w:cs="Times New Roman"/>
          <w:snapToGrid/>
          <w:color w:val="auto"/>
          <w:kern w:val="2"/>
          <w:szCs w:val="21"/>
          <w:highlight w:val="none"/>
          <w:lang w:eastAsia="zh-CN"/>
        </w:rPr>
        <w:t>）甲方不得以行政区划调整、政府换届、机构或者职能调整以及相关责任人更替为由中止合同。</w:t>
      </w:r>
    </w:p>
    <w:p w14:paraId="33769B0B">
      <w:pPr>
        <w:widowControl w:val="0"/>
        <w:kinsoku/>
        <w:autoSpaceDE/>
        <w:autoSpaceDN/>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6</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3</w:t>
      </w:r>
      <w:r>
        <w:rPr>
          <w:rFonts w:hint="eastAsia" w:ascii="宋体" w:hAnsi="宋体" w:eastAsia="宋体" w:cs="Times New Roman"/>
          <w:snapToGrid/>
          <w:color w:val="auto"/>
          <w:kern w:val="2"/>
          <w:szCs w:val="21"/>
          <w:highlight w:val="none"/>
          <w:lang w:eastAsia="zh-CN"/>
        </w:rPr>
        <w:t>合同的终止</w:t>
      </w:r>
    </w:p>
    <w:p w14:paraId="527AE0FC">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（1）合同因有效期限届满而终止；</w:t>
      </w:r>
    </w:p>
    <w:p w14:paraId="33D024AF">
      <w:pPr>
        <w:widowControl w:val="0"/>
        <w:kinsoku/>
        <w:autoSpaceDE/>
        <w:autoSpaceDN/>
        <w:adjustRightInd/>
        <w:snapToGrid w:val="0"/>
        <w:spacing w:line="400" w:lineRule="exact"/>
        <w:ind w:firstLine="420" w:firstLineChars="200"/>
        <w:jc w:val="both"/>
        <w:textAlignment w:val="auto"/>
        <w:rPr>
          <w:rFonts w:hint="eastAsia" w:ascii="宋体" w:hAnsi="宋体" w:eastAsia="宋体" w:cs="宋体"/>
          <w:snapToGrid/>
          <w:kern w:val="2"/>
          <w:szCs w:val="21"/>
          <w:lang w:eastAsia="zh-CN"/>
        </w:rPr>
      </w:pPr>
      <w:r>
        <w:rPr>
          <w:rFonts w:hint="eastAsia" w:ascii="宋体" w:hAnsi="宋体" w:eastAsia="宋体" w:cs="Times New Roman"/>
          <w:snapToGrid/>
          <w:color w:val="auto"/>
          <w:kern w:val="2"/>
          <w:szCs w:val="21"/>
          <w:highlight w:val="none"/>
          <w:lang w:eastAsia="zh-CN"/>
        </w:rPr>
        <w:t>（2）乙方未按合同约定履行，构成根本性违约的，甲方有权终止合同，</w:t>
      </w:r>
      <w:r>
        <w:rPr>
          <w:rFonts w:hint="eastAsia" w:ascii="宋体" w:hAnsi="宋体" w:eastAsia="宋体" w:cs="宋体"/>
          <w:snapToGrid/>
          <w:kern w:val="2"/>
          <w:szCs w:val="21"/>
          <w:lang w:eastAsia="zh-CN"/>
        </w:rPr>
        <w:t>并追究乙方的违约责</w:t>
      </w:r>
      <w:r>
        <w:rPr>
          <w:rFonts w:hint="eastAsia" w:ascii="宋体" w:hAnsi="宋体" w:eastAsia="宋体" w:cs="宋体"/>
          <w:snapToGrid/>
          <w:kern w:val="2"/>
          <w:szCs w:val="21"/>
          <w:lang w:val="en-US" w:eastAsia="zh-CN"/>
        </w:rPr>
        <w:t>任</w:t>
      </w:r>
      <w:r>
        <w:rPr>
          <w:rFonts w:hint="eastAsia" w:ascii="宋体" w:hAnsi="宋体" w:eastAsia="宋体" w:cs="Times New Roman"/>
          <w:snapToGrid/>
          <w:color w:val="auto"/>
          <w:kern w:val="2"/>
          <w:szCs w:val="21"/>
          <w:highlight w:val="none"/>
          <w:lang w:eastAsia="zh-CN"/>
        </w:rPr>
        <w:t>。</w:t>
      </w:r>
    </w:p>
    <w:p w14:paraId="3E2D1E01">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39DCF5C0">
      <w:pPr>
        <w:autoSpaceDE w:val="0"/>
        <w:autoSpaceDN w:val="0"/>
        <w:adjustRightInd w:val="0"/>
        <w:spacing w:line="400" w:lineRule="exact"/>
        <w:ind w:firstLine="420" w:firstLineChars="20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政府采购合同继续履行将损害国家利益和社会公共利益的，双方当事人</w:t>
      </w:r>
      <w:r>
        <w:rPr>
          <w:rFonts w:hint="eastAsia" w:ascii="宋体" w:hAnsi="宋体" w:eastAsia="宋体" w:cs="宋体"/>
          <w:sz w:val="21"/>
          <w:szCs w:val="21"/>
          <w:highlight w:val="none"/>
          <w:lang w:val="en-US" w:eastAsia="zh-CN" w:bidi="ar-SA"/>
        </w:rPr>
        <w:t>应当变更、</w:t>
      </w:r>
      <w:r>
        <w:rPr>
          <w:rFonts w:hint="eastAsia" w:ascii="宋体" w:hAnsi="宋体" w:eastAsia="宋体" w:cs="宋体"/>
          <w:sz w:val="21"/>
          <w:szCs w:val="21"/>
          <w:lang w:val="en-US" w:eastAsia="zh-CN" w:bidi="ar-SA"/>
        </w:rPr>
        <w:t>中止或者终止合同。有过错的一方应当承担赔偿责任，双方都有过错的，各自承担相应的责任。</w:t>
      </w:r>
    </w:p>
    <w:p w14:paraId="196D7610">
      <w:pPr>
        <w:widowControl w:val="0"/>
        <w:kinsoku/>
        <w:autoSpaceDE w:val="0"/>
        <w:autoSpaceDN w:val="0"/>
        <w:adjustRightInd w:val="0"/>
        <w:snapToGrid w:val="0"/>
        <w:spacing w:before="0" w:line="400" w:lineRule="exact"/>
        <w:jc w:val="left"/>
        <w:textAlignment w:val="auto"/>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w:t>
      </w:r>
      <w:r>
        <w:rPr>
          <w:rFonts w:hint="eastAsia" w:ascii="宋体" w:hAnsi="宋体" w:eastAsia="宋体" w:cs="Times New Roman"/>
          <w:b/>
          <w:bCs/>
          <w:snapToGrid/>
          <w:color w:val="auto"/>
          <w:kern w:val="2"/>
          <w:sz w:val="24"/>
          <w:szCs w:val="24"/>
          <w:highlight w:val="none"/>
          <w:lang w:val="en-US" w:eastAsia="zh-CN"/>
        </w:rPr>
        <w:t>7</w:t>
      </w:r>
      <w:r>
        <w:rPr>
          <w:rFonts w:hint="eastAsia" w:ascii="宋体" w:hAnsi="宋体" w:eastAsia="宋体" w:cs="Times New Roman"/>
          <w:b/>
          <w:bCs/>
          <w:snapToGrid/>
          <w:color w:val="auto"/>
          <w:kern w:val="2"/>
          <w:sz w:val="24"/>
          <w:szCs w:val="24"/>
          <w:highlight w:val="none"/>
          <w:lang w:eastAsia="zh-CN"/>
        </w:rPr>
        <w:t>.</w:t>
      </w:r>
      <w:r>
        <w:rPr>
          <w:rFonts w:hint="eastAsia" w:ascii="宋体" w:hAnsi="宋体" w:eastAsia="宋体" w:cs="Times New Roman"/>
          <w:b/>
          <w:bCs/>
          <w:snapToGrid/>
          <w:color w:val="auto"/>
          <w:kern w:val="2"/>
          <w:sz w:val="24"/>
          <w:szCs w:val="24"/>
          <w:highlight w:val="none"/>
          <w:lang w:val="en-US" w:eastAsia="zh-CN"/>
        </w:rPr>
        <w:t xml:space="preserve"> </w:t>
      </w:r>
      <w:r>
        <w:rPr>
          <w:rFonts w:hint="eastAsia" w:ascii="宋体" w:hAnsi="宋体" w:eastAsia="宋体" w:cs="Times New Roman"/>
          <w:b/>
          <w:bCs/>
          <w:snapToGrid/>
          <w:color w:val="auto"/>
          <w:kern w:val="2"/>
          <w:sz w:val="24"/>
          <w:szCs w:val="24"/>
          <w:highlight w:val="none"/>
          <w:lang w:eastAsia="zh-CN"/>
        </w:rPr>
        <w:t>合同分包</w:t>
      </w:r>
    </w:p>
    <w:p w14:paraId="5B223224">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7</w:t>
      </w:r>
      <w:r>
        <w:rPr>
          <w:rFonts w:hint="eastAsia" w:ascii="宋体" w:hAnsi="宋体" w:eastAsia="宋体" w:cs="Times New Roman"/>
          <w:snapToGrid/>
          <w:color w:val="auto"/>
          <w:kern w:val="2"/>
          <w:szCs w:val="21"/>
          <w:highlight w:val="none"/>
          <w:lang w:eastAsia="zh-CN"/>
        </w:rPr>
        <w:t>.1 乙方不得将合同转包给其他供应商。涉及合同分包的，乙方</w:t>
      </w:r>
      <w:r>
        <w:rPr>
          <w:rFonts w:hint="eastAsia" w:ascii="宋体" w:hAnsi="宋体" w:eastAsia="宋体" w:cs="Times New Roman"/>
          <w:snapToGrid/>
          <w:color w:val="auto"/>
          <w:kern w:val="2"/>
          <w:szCs w:val="21"/>
          <w:highlight w:val="none"/>
          <w:lang w:val="en-US" w:eastAsia="zh-CN"/>
        </w:rPr>
        <w:t>应</w:t>
      </w:r>
      <w:r>
        <w:rPr>
          <w:rFonts w:hint="eastAsia" w:ascii="宋体" w:hAnsi="宋体" w:eastAsia="宋体" w:cs="Times New Roman"/>
          <w:snapToGrid/>
          <w:color w:val="auto"/>
          <w:kern w:val="2"/>
          <w:szCs w:val="21"/>
          <w:highlight w:val="none"/>
          <w:lang w:eastAsia="zh-CN"/>
        </w:rPr>
        <w:t>根据采购文件和投标（响应）文件规定进行合同分包。</w:t>
      </w:r>
    </w:p>
    <w:p w14:paraId="73366A8C">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7</w:t>
      </w:r>
      <w:r>
        <w:rPr>
          <w:rFonts w:hint="eastAsia" w:ascii="宋体" w:hAnsi="宋体" w:eastAsia="宋体" w:cs="Times New Roman"/>
          <w:snapToGrid/>
          <w:color w:val="auto"/>
          <w:kern w:val="2"/>
          <w:szCs w:val="21"/>
          <w:highlight w:val="none"/>
          <w:lang w:eastAsia="zh-CN"/>
        </w:rPr>
        <w:t>.2 乙方执行政府采购政策向中小企业依法分包的，乙方应当按采购文件和投标（响应）文件签订分包意向协议，分包意向协议属于本合同组成部分。</w:t>
      </w:r>
    </w:p>
    <w:p w14:paraId="1E5165F9">
      <w:pPr>
        <w:widowControl w:val="0"/>
        <w:kinsoku/>
        <w:autoSpaceDE w:val="0"/>
        <w:autoSpaceDN w:val="0"/>
        <w:adjustRightInd w:val="0"/>
        <w:snapToGrid w:val="0"/>
        <w:spacing w:before="0" w:line="400" w:lineRule="exact"/>
        <w:jc w:val="left"/>
        <w:textAlignment w:val="auto"/>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1</w:t>
      </w:r>
      <w:r>
        <w:rPr>
          <w:rFonts w:hint="eastAsia" w:ascii="宋体" w:hAnsi="宋体" w:eastAsia="宋体" w:cs="Times New Roman"/>
          <w:b/>
          <w:bCs/>
          <w:snapToGrid/>
          <w:color w:val="auto"/>
          <w:kern w:val="2"/>
          <w:sz w:val="24"/>
          <w:szCs w:val="24"/>
          <w:highlight w:val="none"/>
          <w:lang w:val="en-US" w:eastAsia="zh-CN"/>
        </w:rPr>
        <w:t>8</w:t>
      </w:r>
      <w:r>
        <w:rPr>
          <w:rFonts w:hint="eastAsia" w:ascii="宋体" w:hAnsi="宋体" w:eastAsia="宋体" w:cs="Times New Roman"/>
          <w:b/>
          <w:bCs/>
          <w:snapToGrid/>
          <w:color w:val="auto"/>
          <w:kern w:val="2"/>
          <w:sz w:val="24"/>
          <w:szCs w:val="24"/>
          <w:highlight w:val="none"/>
          <w:lang w:eastAsia="zh-CN"/>
        </w:rPr>
        <w:t>.</w:t>
      </w:r>
      <w:r>
        <w:rPr>
          <w:rFonts w:hint="eastAsia" w:ascii="宋体" w:hAnsi="宋体" w:eastAsia="宋体" w:cs="Times New Roman"/>
          <w:b/>
          <w:bCs/>
          <w:snapToGrid/>
          <w:color w:val="auto"/>
          <w:kern w:val="2"/>
          <w:sz w:val="24"/>
          <w:szCs w:val="24"/>
          <w:highlight w:val="none"/>
          <w:lang w:val="en-US" w:eastAsia="zh-CN"/>
        </w:rPr>
        <w:t xml:space="preserve"> </w:t>
      </w:r>
      <w:r>
        <w:rPr>
          <w:rFonts w:hint="eastAsia" w:ascii="宋体" w:hAnsi="宋体" w:eastAsia="宋体" w:cs="Times New Roman"/>
          <w:b/>
          <w:bCs/>
          <w:snapToGrid/>
          <w:color w:val="auto"/>
          <w:kern w:val="2"/>
          <w:sz w:val="24"/>
          <w:szCs w:val="24"/>
          <w:highlight w:val="none"/>
          <w:lang w:eastAsia="zh-CN"/>
        </w:rPr>
        <w:t>不可抗力</w:t>
      </w:r>
    </w:p>
    <w:p w14:paraId="50892AED">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8</w:t>
      </w:r>
      <w:r>
        <w:rPr>
          <w:rFonts w:hint="eastAsia" w:ascii="宋体" w:hAnsi="宋体" w:eastAsia="宋体" w:cs="Times New Roman"/>
          <w:snapToGrid/>
          <w:color w:val="auto"/>
          <w:kern w:val="2"/>
          <w:szCs w:val="21"/>
          <w:highlight w:val="none"/>
          <w:lang w:eastAsia="zh-CN"/>
        </w:rPr>
        <w:t>.1 不可抗力是指合同双方不能预见、不能避免且不能克服的客观情况。</w:t>
      </w:r>
    </w:p>
    <w:p w14:paraId="6FEDB9CE">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8</w:t>
      </w:r>
      <w:r>
        <w:rPr>
          <w:rFonts w:hint="eastAsia" w:ascii="宋体" w:hAnsi="宋体" w:eastAsia="宋体" w:cs="Times New Roman"/>
          <w:snapToGrid/>
          <w:color w:val="auto"/>
          <w:kern w:val="2"/>
          <w:szCs w:val="21"/>
          <w:highlight w:val="none"/>
          <w:lang w:eastAsia="zh-CN"/>
        </w:rPr>
        <w:t>.2 任何一方对由于不可抗力造成的部分或全部不能履行合同不承担违约责任。但迟延履行后发生不可抗力的，不能免除责任。</w:t>
      </w:r>
    </w:p>
    <w:p w14:paraId="203212E5">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1</w:t>
      </w:r>
      <w:r>
        <w:rPr>
          <w:rFonts w:hint="eastAsia" w:ascii="宋体" w:hAnsi="宋体" w:eastAsia="宋体" w:cs="Times New Roman"/>
          <w:snapToGrid/>
          <w:color w:val="auto"/>
          <w:kern w:val="2"/>
          <w:szCs w:val="21"/>
          <w:highlight w:val="none"/>
          <w:lang w:val="en-US" w:eastAsia="zh-CN"/>
        </w:rPr>
        <w:t>8</w:t>
      </w:r>
      <w:r>
        <w:rPr>
          <w:rFonts w:hint="eastAsia" w:ascii="宋体" w:hAnsi="宋体" w:eastAsia="宋体" w:cs="Times New Roman"/>
          <w:snapToGrid/>
          <w:color w:val="auto"/>
          <w:kern w:val="2"/>
          <w:szCs w:val="21"/>
          <w:highlight w:val="none"/>
          <w:lang w:eastAsia="zh-CN"/>
        </w:rPr>
        <w:t>.3 遇有不可抗力的一方，应及时将事件情况以书面形式告知另一方，并在事件发生后及时向另一方提交合同不能履行或部分不能履行或需要延期履行的详细报告，以</w:t>
      </w:r>
      <w:r>
        <w:rPr>
          <w:rFonts w:hint="eastAsia" w:ascii="宋体" w:hAnsi="宋体" w:eastAsia="宋体" w:cs="Times New Roman"/>
          <w:snapToGrid/>
          <w:color w:val="auto"/>
          <w:kern w:val="2"/>
          <w:szCs w:val="21"/>
          <w:highlight w:val="none"/>
          <w:lang w:val="en-US" w:eastAsia="zh-CN"/>
        </w:rPr>
        <w:t>及证明不可抗力发生及其持续时间的证据</w:t>
      </w:r>
      <w:r>
        <w:rPr>
          <w:rFonts w:hint="eastAsia" w:ascii="宋体" w:hAnsi="宋体" w:eastAsia="宋体" w:cs="Times New Roman"/>
          <w:snapToGrid/>
          <w:color w:val="auto"/>
          <w:kern w:val="2"/>
          <w:szCs w:val="21"/>
          <w:highlight w:val="none"/>
          <w:lang w:eastAsia="zh-CN"/>
        </w:rPr>
        <w:t>。</w:t>
      </w:r>
    </w:p>
    <w:p w14:paraId="0092BB62">
      <w:pPr>
        <w:widowControl w:val="0"/>
        <w:kinsoku/>
        <w:autoSpaceDE w:val="0"/>
        <w:autoSpaceDN w:val="0"/>
        <w:adjustRightInd w:val="0"/>
        <w:snapToGrid w:val="0"/>
        <w:spacing w:before="0" w:line="400" w:lineRule="exact"/>
        <w:jc w:val="left"/>
        <w:textAlignment w:val="auto"/>
        <w:rPr>
          <w:rFonts w:hint="eastAsia"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val="en-US" w:eastAsia="zh-CN"/>
        </w:rPr>
        <w:t>19</w:t>
      </w:r>
      <w:r>
        <w:rPr>
          <w:rFonts w:hint="eastAsia" w:ascii="宋体" w:hAnsi="宋体" w:eastAsia="宋体" w:cs="Times New Roman"/>
          <w:b/>
          <w:bCs/>
          <w:snapToGrid/>
          <w:color w:val="auto"/>
          <w:kern w:val="2"/>
          <w:sz w:val="24"/>
          <w:szCs w:val="24"/>
          <w:highlight w:val="none"/>
          <w:lang w:eastAsia="zh-CN"/>
        </w:rPr>
        <w:t>.</w:t>
      </w:r>
      <w:r>
        <w:rPr>
          <w:rFonts w:hint="eastAsia" w:ascii="宋体" w:hAnsi="宋体" w:eastAsia="宋体" w:cs="Times New Roman"/>
          <w:b/>
          <w:bCs/>
          <w:snapToGrid/>
          <w:color w:val="auto"/>
          <w:kern w:val="2"/>
          <w:sz w:val="24"/>
          <w:szCs w:val="24"/>
          <w:highlight w:val="none"/>
          <w:lang w:val="en-US" w:eastAsia="zh-CN"/>
        </w:rPr>
        <w:t xml:space="preserve"> </w:t>
      </w:r>
      <w:r>
        <w:rPr>
          <w:rFonts w:hint="eastAsia" w:ascii="宋体" w:hAnsi="宋体" w:eastAsia="宋体" w:cs="Times New Roman"/>
          <w:b/>
          <w:bCs/>
          <w:snapToGrid/>
          <w:color w:val="auto"/>
          <w:kern w:val="2"/>
          <w:sz w:val="24"/>
          <w:szCs w:val="24"/>
          <w:highlight w:val="none"/>
          <w:lang w:eastAsia="zh-CN"/>
        </w:rPr>
        <w:t>解决争议的方法</w:t>
      </w:r>
    </w:p>
    <w:p w14:paraId="5B397B44">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057393CA">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lang w:val="en-US" w:eastAsia="zh-CN" w:bidi="ar-SA"/>
        </w:rPr>
        <w:t>中进一步约定选择与争议有实际联系的地点的人民法院管辖，但管辖法院的约定不得违反级别管辖和专属管辖的规定。</w:t>
      </w:r>
    </w:p>
    <w:p w14:paraId="665CF3DC">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19.3 如甲乙双方有争议的事项不影响合同其他部分的履行，在争议解决期间，合同其他部分应当继续履行。</w:t>
      </w:r>
    </w:p>
    <w:p w14:paraId="4391611D">
      <w:pPr>
        <w:widowControl w:val="0"/>
        <w:kinsoku/>
        <w:autoSpaceDE w:val="0"/>
        <w:autoSpaceDN w:val="0"/>
        <w:adjustRightInd w:val="0"/>
        <w:snapToGrid w:val="0"/>
        <w:spacing w:before="0" w:line="400" w:lineRule="exact"/>
        <w:jc w:val="left"/>
        <w:textAlignment w:val="auto"/>
        <w:rPr>
          <w:rFonts w:ascii="宋体" w:hAnsi="宋体" w:eastAsia="宋体" w:cs="Times New Roman"/>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val="en-US" w:eastAsia="zh-CN"/>
        </w:rPr>
        <w:t>20</w:t>
      </w:r>
      <w:r>
        <w:rPr>
          <w:rFonts w:hint="eastAsia" w:ascii="宋体" w:hAnsi="宋体" w:eastAsia="宋体" w:cs="Times New Roman"/>
          <w:b/>
          <w:snapToGrid/>
          <w:color w:val="auto"/>
          <w:kern w:val="2"/>
          <w:sz w:val="24"/>
          <w:szCs w:val="24"/>
          <w:highlight w:val="none"/>
          <w:lang w:eastAsia="zh-CN"/>
        </w:rPr>
        <w:t>.</w:t>
      </w:r>
      <w:r>
        <w:rPr>
          <w:rFonts w:hint="eastAsia" w:ascii="宋体" w:hAnsi="宋体" w:eastAsia="宋体" w:cs="Times New Roman"/>
          <w:b/>
          <w:snapToGrid/>
          <w:color w:val="auto"/>
          <w:kern w:val="2"/>
          <w:sz w:val="24"/>
          <w:szCs w:val="24"/>
          <w:highlight w:val="none"/>
          <w:lang w:val="en-US" w:eastAsia="zh-CN"/>
        </w:rPr>
        <w:t xml:space="preserve"> </w:t>
      </w:r>
      <w:r>
        <w:rPr>
          <w:rFonts w:hint="eastAsia" w:ascii="宋体" w:hAnsi="宋体" w:eastAsia="宋体" w:cs="Times New Roman"/>
          <w:b/>
          <w:snapToGrid/>
          <w:color w:val="auto"/>
          <w:kern w:val="2"/>
          <w:sz w:val="24"/>
          <w:szCs w:val="24"/>
          <w:highlight w:val="none"/>
          <w:lang w:eastAsia="zh-CN"/>
        </w:rPr>
        <w:t>政府采购政策</w:t>
      </w:r>
    </w:p>
    <w:p w14:paraId="0CD67A65">
      <w:pPr>
        <w:widowControl w:val="0"/>
        <w:kinsoku/>
        <w:autoSpaceDE w:val="0"/>
        <w:autoSpaceDN w:val="0"/>
        <w:adjustRightInd w:val="0"/>
        <w:snapToGrid w:val="0"/>
        <w:spacing w:before="0" w:line="400" w:lineRule="exact"/>
        <w:ind w:firstLine="420" w:firstLineChars="200"/>
        <w:jc w:val="left"/>
        <w:textAlignment w:val="auto"/>
        <w:rPr>
          <w:rFonts w:hint="default" w:ascii="宋体" w:hAnsi="宋体" w:eastAsia="宋体" w:cs="Times New Roman"/>
          <w:snapToGrid/>
          <w:color w:val="auto"/>
          <w:kern w:val="2"/>
          <w:szCs w:val="21"/>
          <w:highlight w:val="none"/>
          <w:lang w:val="en-US" w:eastAsia="zh-CN"/>
        </w:rPr>
      </w:pPr>
      <w:r>
        <w:rPr>
          <w:rFonts w:hint="eastAsia" w:ascii="宋体" w:hAnsi="宋体" w:eastAsia="宋体" w:cs="Times New Roman"/>
          <w:snapToGrid/>
          <w:color w:val="auto"/>
          <w:kern w:val="2"/>
          <w:szCs w:val="21"/>
          <w:highlight w:val="none"/>
          <w:lang w:val="en-US" w:eastAsia="zh-CN"/>
        </w:rPr>
        <w:t xml:space="preserve">20.1 </w:t>
      </w:r>
      <w:r>
        <w:rPr>
          <w:rFonts w:hint="eastAsia" w:ascii="宋体" w:hAnsi="宋体" w:eastAsia="宋体" w:cs="宋体"/>
          <w:snapToGrid/>
          <w:kern w:val="2"/>
          <w:szCs w:val="24"/>
          <w:lang w:val="en-GB" w:eastAsia="zh-CN"/>
        </w:rPr>
        <w:t>本合同应当按照规定执行政府采购政策。</w:t>
      </w:r>
    </w:p>
    <w:p w14:paraId="4165A9A1">
      <w:pPr>
        <w:widowControl w:val="0"/>
        <w:kinsoku/>
        <w:autoSpaceDE w:val="0"/>
        <w:autoSpaceDN w:val="0"/>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ascii="宋体" w:hAnsi="宋体" w:eastAsia="宋体" w:cs="Times New Roman"/>
          <w:snapToGrid/>
          <w:color w:val="auto"/>
          <w:kern w:val="2"/>
          <w:szCs w:val="21"/>
          <w:highlight w:val="none"/>
          <w:lang w:eastAsia="zh-CN"/>
        </w:rPr>
        <w:t>2</w:t>
      </w:r>
      <w:r>
        <w:rPr>
          <w:rFonts w:hint="eastAsia" w:ascii="宋体" w:hAnsi="宋体" w:eastAsia="宋体" w:cs="Times New Roman"/>
          <w:snapToGrid/>
          <w:color w:val="auto"/>
          <w:kern w:val="2"/>
          <w:szCs w:val="21"/>
          <w:highlight w:val="none"/>
          <w:lang w:val="en-US" w:eastAsia="zh-CN"/>
        </w:rPr>
        <w:t>0</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 xml:space="preserve"> 本合同依法执行政府采购政策的方式和内容，属于合同履约验收的范围。</w:t>
      </w:r>
      <w:r>
        <w:rPr>
          <w:rFonts w:hint="eastAsia" w:ascii="宋体" w:hAnsi="宋体" w:eastAsia="宋体" w:cs="宋体"/>
          <w:snapToGrid/>
          <w:kern w:val="2"/>
          <w:sz w:val="21"/>
          <w:szCs w:val="24"/>
          <w:lang w:eastAsia="zh-CN"/>
        </w:rPr>
        <w:t>甲乙双方</w:t>
      </w:r>
      <w:r>
        <w:rPr>
          <w:rFonts w:hint="eastAsia" w:ascii="宋体" w:hAnsi="宋体" w:eastAsia="宋体" w:cs="宋体"/>
          <w:snapToGrid/>
          <w:kern w:val="2"/>
          <w:szCs w:val="24"/>
          <w:lang w:val="en-GB" w:eastAsia="zh-CN"/>
        </w:rPr>
        <w:t>未按规定要求执行政府采购政策造成损失的</w:t>
      </w:r>
      <w:r>
        <w:rPr>
          <w:rFonts w:hint="eastAsia" w:ascii="宋体" w:hAnsi="宋体" w:eastAsia="宋体" w:cs="Times New Roman"/>
          <w:snapToGrid/>
          <w:color w:val="auto"/>
          <w:kern w:val="2"/>
          <w:szCs w:val="21"/>
          <w:highlight w:val="none"/>
          <w:lang w:eastAsia="zh-CN"/>
        </w:rPr>
        <w:t>，有过错的一方应当承担赔偿责任，双方都有过错的，各自承担相应的责任。</w:t>
      </w:r>
    </w:p>
    <w:p w14:paraId="3238DA96">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F284DF9">
      <w:pPr>
        <w:widowControl w:val="0"/>
        <w:kinsoku/>
        <w:autoSpaceDE w:val="0"/>
        <w:autoSpaceDN w:val="0"/>
        <w:adjustRightInd w:val="0"/>
        <w:snapToGrid w:val="0"/>
        <w:spacing w:before="0" w:line="400" w:lineRule="exact"/>
        <w:jc w:val="left"/>
        <w:textAlignment w:val="auto"/>
        <w:rPr>
          <w:rFonts w:hint="eastAsia"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eastAsia="zh-CN"/>
        </w:rPr>
        <w:t>2</w:t>
      </w:r>
      <w:r>
        <w:rPr>
          <w:rFonts w:hint="eastAsia" w:ascii="宋体" w:hAnsi="宋体" w:eastAsia="宋体" w:cs="Times New Roman"/>
          <w:b/>
          <w:snapToGrid/>
          <w:color w:val="auto"/>
          <w:kern w:val="2"/>
          <w:sz w:val="24"/>
          <w:szCs w:val="24"/>
          <w:highlight w:val="none"/>
          <w:lang w:val="en-US" w:eastAsia="zh-CN"/>
        </w:rPr>
        <w:t>1</w:t>
      </w:r>
      <w:r>
        <w:rPr>
          <w:rFonts w:hint="eastAsia" w:ascii="宋体" w:hAnsi="宋体" w:eastAsia="宋体" w:cs="Times New Roman"/>
          <w:b/>
          <w:snapToGrid/>
          <w:color w:val="auto"/>
          <w:kern w:val="2"/>
          <w:sz w:val="24"/>
          <w:szCs w:val="24"/>
          <w:highlight w:val="none"/>
          <w:lang w:eastAsia="zh-CN"/>
        </w:rPr>
        <w:t>.</w:t>
      </w:r>
      <w:r>
        <w:rPr>
          <w:rFonts w:hint="eastAsia" w:ascii="宋体" w:hAnsi="宋体" w:eastAsia="宋体" w:cs="Times New Roman"/>
          <w:b/>
          <w:snapToGrid/>
          <w:color w:val="auto"/>
          <w:kern w:val="2"/>
          <w:sz w:val="24"/>
          <w:szCs w:val="24"/>
          <w:highlight w:val="none"/>
          <w:lang w:val="en-US" w:eastAsia="zh-CN"/>
        </w:rPr>
        <w:t xml:space="preserve"> </w:t>
      </w:r>
      <w:r>
        <w:rPr>
          <w:rFonts w:hint="eastAsia" w:ascii="宋体" w:hAnsi="宋体" w:eastAsia="宋体" w:cs="Times New Roman"/>
          <w:b/>
          <w:snapToGrid/>
          <w:color w:val="auto"/>
          <w:kern w:val="2"/>
          <w:sz w:val="24"/>
          <w:szCs w:val="24"/>
          <w:highlight w:val="none"/>
          <w:lang w:eastAsia="zh-CN"/>
        </w:rPr>
        <w:t>法律适用</w:t>
      </w:r>
    </w:p>
    <w:p w14:paraId="095FCD63">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21.1 本合同的订立、生效、解释、履行及与本合同有关的争议解决，均适用法律、行政法规。</w:t>
      </w:r>
    </w:p>
    <w:p w14:paraId="552B2A88">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21.2 本合同条款与法律、行政法规的强制性规定不一致的，双方当事人应按照法律、行政法规的强制性规定修改本合同的相关条款。</w:t>
      </w:r>
    </w:p>
    <w:p w14:paraId="42C6025C">
      <w:pPr>
        <w:widowControl w:val="0"/>
        <w:numPr>
          <w:ilvl w:val="-1"/>
          <w:numId w:val="0"/>
        </w:numPr>
        <w:kinsoku/>
        <w:autoSpaceDE w:val="0"/>
        <w:autoSpaceDN w:val="0"/>
        <w:adjustRightInd w:val="0"/>
        <w:snapToGrid w:val="0"/>
        <w:spacing w:before="0" w:line="400" w:lineRule="exact"/>
        <w:jc w:val="left"/>
        <w:textAlignment w:val="auto"/>
        <w:rPr>
          <w:rFonts w:ascii="宋体" w:hAnsi="宋体" w:eastAsia="宋体" w:cs="Times New Roman"/>
          <w:b/>
          <w:snapToGrid/>
          <w:color w:val="auto"/>
          <w:kern w:val="2"/>
          <w:sz w:val="24"/>
          <w:szCs w:val="24"/>
          <w:highlight w:val="none"/>
          <w:lang w:eastAsia="zh-CN"/>
        </w:rPr>
      </w:pPr>
      <w:r>
        <w:rPr>
          <w:rFonts w:hint="eastAsia" w:ascii="宋体" w:hAnsi="宋体" w:eastAsia="宋体" w:cs="Times New Roman"/>
          <w:b/>
          <w:snapToGrid/>
          <w:color w:val="auto"/>
          <w:kern w:val="2"/>
          <w:sz w:val="24"/>
          <w:szCs w:val="24"/>
          <w:highlight w:val="none"/>
          <w:lang w:val="en-US" w:eastAsia="zh-CN"/>
        </w:rPr>
        <w:t xml:space="preserve">22. </w:t>
      </w:r>
      <w:r>
        <w:rPr>
          <w:rFonts w:hint="eastAsia" w:ascii="宋体" w:hAnsi="宋体" w:eastAsia="宋体" w:cs="Times New Roman"/>
          <w:b/>
          <w:snapToGrid/>
          <w:color w:val="auto"/>
          <w:kern w:val="2"/>
          <w:sz w:val="24"/>
          <w:szCs w:val="24"/>
          <w:highlight w:val="none"/>
          <w:lang w:eastAsia="zh-CN"/>
        </w:rPr>
        <w:t>通知</w:t>
      </w:r>
    </w:p>
    <w:p w14:paraId="498DBFB9">
      <w:pPr>
        <w:autoSpaceDE w:val="0"/>
        <w:autoSpaceDN w:val="0"/>
        <w:adjustRightInd w:val="0"/>
        <w:spacing w:line="400" w:lineRule="exact"/>
        <w:ind w:firstLine="420" w:firstLineChars="200"/>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22.1 本合同任何一方向对方发出的通知、信件、数据电文等，应当发送至本合同第一部分《政府采购合同协议书》所约定的通讯地址、联系人、联系电话或电子邮箱。</w:t>
      </w:r>
    </w:p>
    <w:p w14:paraId="38B69111">
      <w:pPr>
        <w:autoSpaceDE w:val="0"/>
        <w:autoSpaceDN w:val="0"/>
        <w:adjustRightInd w:val="0"/>
        <w:spacing w:line="400" w:lineRule="exact"/>
        <w:ind w:firstLine="0" w:firstLineChars="0"/>
        <w:jc w:val="both"/>
        <w:rPr>
          <w:rFonts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327D531E">
      <w:pPr>
        <w:widowControl w:val="0"/>
        <w:kinsoku/>
        <w:autoSpaceDE/>
        <w:autoSpaceDN/>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3</w:t>
      </w:r>
      <w:r>
        <w:rPr>
          <w:rFonts w:hint="eastAsia" w:ascii="宋体" w:hAnsi="宋体" w:eastAsia="宋体" w:cs="Times New Roman"/>
          <w:snapToGrid/>
          <w:color w:val="auto"/>
          <w:kern w:val="2"/>
          <w:szCs w:val="21"/>
          <w:highlight w:val="none"/>
          <w:lang w:eastAsia="zh-CN"/>
        </w:rPr>
        <w:t>本合同一方给另一方的通知均应采用书面形式，传真或快递送到本合同中规定的对方的地址和办理签收手续。</w:t>
      </w:r>
    </w:p>
    <w:p w14:paraId="7977534D">
      <w:pPr>
        <w:widowControl w:val="0"/>
        <w:kinsoku/>
        <w:autoSpaceDE/>
        <w:autoSpaceDN/>
        <w:adjustRightInd w:val="0"/>
        <w:snapToGrid w:val="0"/>
        <w:spacing w:before="0" w:line="400" w:lineRule="exact"/>
        <w:ind w:firstLine="420" w:firstLineChars="200"/>
        <w:jc w:val="left"/>
        <w:textAlignment w:val="auto"/>
        <w:rPr>
          <w:rFonts w:ascii="宋体" w:hAnsi="宋体" w:eastAsia="宋体" w:cs="Times New Roman"/>
          <w:snapToGrid/>
          <w:color w:val="auto"/>
          <w:kern w:val="2"/>
          <w:szCs w:val="21"/>
          <w:highlight w:val="none"/>
          <w:lang w:eastAsia="zh-CN"/>
        </w:rPr>
      </w:pPr>
      <w:r>
        <w:rPr>
          <w:rFonts w:hint="eastAsia" w:ascii="宋体" w:hAnsi="宋体" w:eastAsia="宋体" w:cs="Times New Roman"/>
          <w:snapToGrid/>
          <w:color w:val="auto"/>
          <w:kern w:val="2"/>
          <w:szCs w:val="21"/>
          <w:highlight w:val="none"/>
          <w:lang w:eastAsia="zh-CN"/>
        </w:rPr>
        <w:t>2</w:t>
      </w:r>
      <w:r>
        <w:rPr>
          <w:rFonts w:hint="eastAsia" w:ascii="宋体" w:hAnsi="宋体" w:eastAsia="宋体" w:cs="Times New Roman"/>
          <w:snapToGrid/>
          <w:color w:val="auto"/>
          <w:kern w:val="2"/>
          <w:szCs w:val="21"/>
          <w:highlight w:val="none"/>
          <w:lang w:val="en-US" w:eastAsia="zh-CN"/>
        </w:rPr>
        <w:t>2</w:t>
      </w:r>
      <w:r>
        <w:rPr>
          <w:rFonts w:hint="eastAsia" w:ascii="宋体" w:hAnsi="宋体" w:eastAsia="宋体" w:cs="Times New Roman"/>
          <w:snapToGrid/>
          <w:color w:val="auto"/>
          <w:kern w:val="2"/>
          <w:szCs w:val="21"/>
          <w:highlight w:val="none"/>
          <w:lang w:eastAsia="zh-CN"/>
        </w:rPr>
        <w:t>.</w:t>
      </w:r>
      <w:r>
        <w:rPr>
          <w:rFonts w:hint="eastAsia" w:ascii="宋体" w:hAnsi="宋体" w:eastAsia="宋体" w:cs="Times New Roman"/>
          <w:snapToGrid/>
          <w:color w:val="auto"/>
          <w:kern w:val="2"/>
          <w:szCs w:val="21"/>
          <w:highlight w:val="none"/>
          <w:lang w:val="en-US" w:eastAsia="zh-CN"/>
        </w:rPr>
        <w:t>4</w:t>
      </w:r>
      <w:r>
        <w:rPr>
          <w:rFonts w:hint="eastAsia" w:ascii="宋体" w:hAnsi="宋体" w:eastAsia="宋体" w:cs="Times New Roman"/>
          <w:snapToGrid/>
          <w:color w:val="auto"/>
          <w:kern w:val="2"/>
          <w:szCs w:val="21"/>
          <w:highlight w:val="none"/>
          <w:lang w:eastAsia="zh-CN"/>
        </w:rPr>
        <w:t>通知以送达之日或通知书中规定的生效之日起生效，两者中以较迟之日为准。</w:t>
      </w:r>
    </w:p>
    <w:p w14:paraId="6E5F070C">
      <w:pPr>
        <w:widowControl w:val="0"/>
        <w:numPr>
          <w:ilvl w:val="0"/>
          <w:numId w:val="7"/>
        </w:numPr>
        <w:kinsoku/>
        <w:autoSpaceDE/>
        <w:autoSpaceDN/>
        <w:adjustRightInd w:val="0"/>
        <w:snapToGrid w:val="0"/>
        <w:spacing w:before="0" w:line="400" w:lineRule="exact"/>
        <w:jc w:val="left"/>
        <w:textAlignment w:val="auto"/>
        <w:rPr>
          <w:rFonts w:ascii="宋体" w:hAnsi="宋体" w:eastAsia="宋体" w:cs="Times New Roman"/>
          <w:b/>
          <w:bCs/>
          <w:snapToGrid/>
          <w:color w:val="auto"/>
          <w:kern w:val="2"/>
          <w:sz w:val="24"/>
          <w:szCs w:val="24"/>
          <w:highlight w:val="none"/>
          <w:lang w:eastAsia="zh-CN"/>
        </w:rPr>
      </w:pPr>
      <w:r>
        <w:rPr>
          <w:rFonts w:hint="eastAsia" w:ascii="宋体" w:hAnsi="宋体" w:eastAsia="宋体" w:cs="Times New Roman"/>
          <w:b/>
          <w:bCs/>
          <w:snapToGrid/>
          <w:color w:val="auto"/>
          <w:kern w:val="2"/>
          <w:sz w:val="24"/>
          <w:szCs w:val="24"/>
          <w:highlight w:val="none"/>
          <w:lang w:eastAsia="zh-CN"/>
        </w:rPr>
        <w:t>合同未尽事项</w:t>
      </w:r>
    </w:p>
    <w:p w14:paraId="0A1E8347">
      <w:pPr>
        <w:widowControl w:val="0"/>
        <w:kinsoku/>
        <w:autoSpaceDE/>
        <w:autoSpaceDN/>
        <w:adjustRightInd w:val="0"/>
        <w:snapToGrid w:val="0"/>
        <w:spacing w:before="0" w:line="400" w:lineRule="exact"/>
        <w:ind w:firstLine="420" w:firstLineChars="200"/>
        <w:jc w:val="left"/>
        <w:textAlignment w:val="auto"/>
        <w:rPr>
          <w:rFonts w:hint="eastAsia" w:ascii="宋体" w:hAnsi="宋体" w:eastAsia="宋体" w:cs="Times New Roman"/>
          <w:bCs/>
          <w:snapToGrid/>
          <w:color w:val="auto"/>
          <w:kern w:val="2"/>
          <w:szCs w:val="21"/>
          <w:highlight w:val="none"/>
          <w:lang w:eastAsia="zh-CN"/>
        </w:rPr>
      </w:pPr>
      <w:r>
        <w:rPr>
          <w:rFonts w:hint="eastAsia" w:ascii="宋体" w:hAnsi="宋体" w:eastAsia="宋体" w:cs="Times New Roman"/>
          <w:bCs/>
          <w:snapToGrid/>
          <w:color w:val="auto"/>
          <w:kern w:val="2"/>
          <w:szCs w:val="21"/>
          <w:highlight w:val="none"/>
          <w:lang w:eastAsia="zh-CN"/>
        </w:rPr>
        <w:t>2</w:t>
      </w:r>
      <w:r>
        <w:rPr>
          <w:rFonts w:hint="eastAsia" w:ascii="宋体" w:hAnsi="宋体" w:eastAsia="宋体" w:cs="Times New Roman"/>
          <w:bCs/>
          <w:snapToGrid/>
          <w:color w:val="auto"/>
          <w:kern w:val="2"/>
          <w:szCs w:val="21"/>
          <w:highlight w:val="none"/>
          <w:lang w:val="en-US" w:eastAsia="zh-CN"/>
        </w:rPr>
        <w:t>3</w:t>
      </w:r>
      <w:r>
        <w:rPr>
          <w:rFonts w:hint="eastAsia" w:ascii="宋体" w:hAnsi="宋体" w:eastAsia="宋体" w:cs="Times New Roman"/>
          <w:bCs/>
          <w:snapToGrid/>
          <w:color w:val="auto"/>
          <w:kern w:val="2"/>
          <w:szCs w:val="21"/>
          <w:highlight w:val="none"/>
          <w:lang w:eastAsia="zh-CN"/>
        </w:rPr>
        <w:t>.1合同未尽事项见</w:t>
      </w:r>
      <w:r>
        <w:rPr>
          <w:rFonts w:hint="eastAsia" w:ascii="宋体" w:hAnsi="宋体" w:eastAsia="宋体" w:cs="Times New Roman"/>
          <w:b/>
          <w:snapToGrid/>
          <w:color w:val="auto"/>
          <w:kern w:val="2"/>
          <w:szCs w:val="21"/>
          <w:highlight w:val="none"/>
          <w:lang w:eastAsia="zh-CN"/>
        </w:rPr>
        <w:t>【政府采购合同专用条款】</w:t>
      </w:r>
      <w:r>
        <w:rPr>
          <w:rFonts w:hint="eastAsia" w:ascii="宋体" w:hAnsi="宋体" w:eastAsia="宋体" w:cs="Times New Roman"/>
          <w:bCs/>
          <w:snapToGrid/>
          <w:color w:val="auto"/>
          <w:kern w:val="2"/>
          <w:szCs w:val="21"/>
          <w:highlight w:val="none"/>
          <w:lang w:eastAsia="zh-CN"/>
        </w:rPr>
        <w:t>。</w:t>
      </w:r>
    </w:p>
    <w:p w14:paraId="578C3F6A">
      <w:pPr>
        <w:widowControl w:val="0"/>
        <w:kinsoku/>
        <w:autoSpaceDE/>
        <w:autoSpaceDN/>
        <w:adjustRightInd w:val="0"/>
        <w:snapToGrid w:val="0"/>
        <w:spacing w:line="400" w:lineRule="exact"/>
        <w:ind w:firstLine="0" w:firstLineChars="0"/>
        <w:jc w:val="left"/>
        <w:textAlignment w:val="auto"/>
        <w:rPr>
          <w:rFonts w:ascii="黑体" w:hAnsi="华文中宋" w:eastAsia="黑体" w:cs="Times New Roman"/>
          <w:snapToGrid/>
          <w:color w:val="auto"/>
          <w:kern w:val="2"/>
          <w:sz w:val="28"/>
          <w:szCs w:val="28"/>
          <w:lang w:eastAsia="zh-CN"/>
        </w:rPr>
      </w:pPr>
      <w:r>
        <w:rPr>
          <w:rFonts w:hint="eastAsia" w:ascii="宋体" w:hAnsi="宋体" w:eastAsia="宋体" w:cs="Times New Roman"/>
          <w:bCs/>
          <w:snapToGrid/>
          <w:color w:val="auto"/>
          <w:kern w:val="2"/>
          <w:szCs w:val="21"/>
          <w:highlight w:val="none"/>
          <w:lang w:val="en-US" w:eastAsia="zh-CN"/>
        </w:rPr>
        <w:t xml:space="preserve">    23.2 合同附件与合同正文具有同等的法律效力。</w:t>
      </w:r>
      <w:bookmarkStart w:id="141" w:name="_Toc20313"/>
    </w:p>
    <w:p w14:paraId="3D952EF5">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2147483648" w:afterAutospacing="0" w:line="360" w:lineRule="auto"/>
        <w:jc w:val="center"/>
        <w:textAlignment w:val="auto"/>
        <w:outlineLvl w:val="1"/>
        <w:rPr>
          <w:rFonts w:hint="eastAsia" w:ascii="宋体" w:hAnsi="宋体" w:eastAsia="宋体" w:cs="宋体"/>
          <w:b/>
          <w:bCs/>
          <w:snapToGrid/>
          <w:kern w:val="2"/>
          <w:sz w:val="24"/>
          <w:szCs w:val="24"/>
          <w:lang w:val="en-US" w:eastAsia="zh-CN"/>
        </w:rPr>
      </w:pPr>
      <w:bookmarkStart w:id="142" w:name="_Toc10998"/>
      <w:bookmarkStart w:id="143" w:name="_Toc19869"/>
      <w:r>
        <w:rPr>
          <w:rFonts w:hint="eastAsia" w:ascii="宋体" w:hAnsi="宋体" w:eastAsia="宋体" w:cs="宋体"/>
          <w:b/>
          <w:bCs/>
          <w:snapToGrid/>
          <w:kern w:val="2"/>
          <w:sz w:val="24"/>
          <w:szCs w:val="24"/>
          <w:lang w:val="en-US" w:eastAsia="zh-CN"/>
        </w:rPr>
        <w:t>第三节 政府采购合同专用条款</w:t>
      </w:r>
      <w:bookmarkEnd w:id="141"/>
      <w:bookmarkEnd w:id="142"/>
      <w:bookmarkEnd w:id="143"/>
    </w:p>
    <w:tbl>
      <w:tblPr>
        <w:tblStyle w:val="14"/>
        <w:tblW w:w="499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49"/>
        <w:gridCol w:w="1899"/>
        <w:gridCol w:w="5637"/>
      </w:tblGrid>
      <w:tr w14:paraId="3F7BA2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vAlign w:val="center"/>
          </w:tcPr>
          <w:p w14:paraId="12068EB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24E93D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eastAsia="zh-CN"/>
              </w:rPr>
              <w:t>第</w:t>
            </w:r>
            <w:r>
              <w:rPr>
                <w:rFonts w:hint="eastAsia" w:ascii="宋体" w:hAnsi="宋体" w:eastAsia="宋体" w:cs="Times New Roman"/>
                <w:snapToGrid/>
                <w:kern w:val="2"/>
                <w:sz w:val="21"/>
                <w:szCs w:val="21"/>
                <w:lang w:val="en-US" w:eastAsia="zh-CN"/>
              </w:rPr>
              <w:t>4.4款</w:t>
            </w:r>
          </w:p>
        </w:tc>
        <w:tc>
          <w:tcPr>
            <w:tcW w:w="1022" w:type="pct"/>
            <w:vAlign w:val="center"/>
          </w:tcPr>
          <w:p w14:paraId="6C67899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履约验收中甲方提出异议或作出说明的期限</w:t>
            </w:r>
          </w:p>
        </w:tc>
        <w:tc>
          <w:tcPr>
            <w:tcW w:w="3034" w:type="pct"/>
            <w:vAlign w:val="center"/>
          </w:tcPr>
          <w:p w14:paraId="4BDE7BB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10个工作日</w:t>
            </w:r>
          </w:p>
        </w:tc>
      </w:tr>
      <w:tr w14:paraId="2DB60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vAlign w:val="center"/>
          </w:tcPr>
          <w:p w14:paraId="1CA79EF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4B3C77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w:t>
            </w:r>
            <w:r>
              <w:rPr>
                <w:rFonts w:hint="eastAsia" w:ascii="宋体" w:hAnsi="宋体" w:eastAsia="宋体" w:cs="Times New Roman"/>
                <w:snapToGrid/>
                <w:kern w:val="2"/>
                <w:sz w:val="21"/>
                <w:szCs w:val="21"/>
                <w:lang w:val="en-US" w:eastAsia="zh-CN"/>
              </w:rPr>
              <w:t>4.6款</w:t>
            </w:r>
          </w:p>
        </w:tc>
        <w:tc>
          <w:tcPr>
            <w:tcW w:w="1022" w:type="pct"/>
            <w:vAlign w:val="center"/>
          </w:tcPr>
          <w:p w14:paraId="1F6BB32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约定甲方承担的其他义务和责任</w:t>
            </w:r>
          </w:p>
        </w:tc>
        <w:tc>
          <w:tcPr>
            <w:tcW w:w="3034" w:type="pct"/>
            <w:vAlign w:val="center"/>
          </w:tcPr>
          <w:p w14:paraId="44CB42F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4.6.1甲方有权要求乙方提供详细的供货计划，供货时间表和安装调试验收方案；</w:t>
            </w:r>
          </w:p>
          <w:p w14:paraId="13881ED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4.6.2甲方有权要求乙方提供项目人员名单包括供货、安装调试、验收和售后服务等；</w:t>
            </w:r>
          </w:p>
          <w:p w14:paraId="69A19E5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4.6.3甲方有权根据需要邀请第三方对项目进行验收。</w:t>
            </w:r>
          </w:p>
        </w:tc>
      </w:tr>
      <w:tr w14:paraId="6A4C98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vAlign w:val="center"/>
          </w:tcPr>
          <w:p w14:paraId="4A7CCB5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6D33F2A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宋体" w:cs="Times New Roman"/>
                <w:snapToGrid/>
                <w:kern w:val="2"/>
                <w:sz w:val="21"/>
                <w:szCs w:val="21"/>
                <w:lang w:val="en-US" w:eastAsia="zh-CN"/>
              </w:rPr>
            </w:pPr>
            <w:r>
              <w:rPr>
                <w:rFonts w:hint="eastAsia" w:ascii="宋体" w:hAnsi="宋体" w:eastAsia="宋体" w:cs="Times New Roman"/>
                <w:snapToGrid/>
                <w:kern w:val="2"/>
                <w:sz w:val="21"/>
                <w:szCs w:val="21"/>
                <w:lang w:eastAsia="zh-CN"/>
              </w:rPr>
              <w:t>第</w:t>
            </w:r>
            <w:r>
              <w:rPr>
                <w:rFonts w:hint="eastAsia" w:ascii="宋体" w:hAnsi="宋体" w:eastAsia="宋体" w:cs="Times New Roman"/>
                <w:snapToGrid/>
                <w:kern w:val="2"/>
                <w:sz w:val="21"/>
                <w:szCs w:val="21"/>
                <w:lang w:val="en-US" w:eastAsia="zh-CN"/>
              </w:rPr>
              <w:t>5.4款</w:t>
            </w:r>
          </w:p>
        </w:tc>
        <w:tc>
          <w:tcPr>
            <w:tcW w:w="1022" w:type="pct"/>
            <w:vAlign w:val="center"/>
          </w:tcPr>
          <w:p w14:paraId="4B06F5C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约定乙方承担的其他义务和责任</w:t>
            </w:r>
          </w:p>
        </w:tc>
        <w:tc>
          <w:tcPr>
            <w:tcW w:w="3034" w:type="pct"/>
            <w:vAlign w:val="center"/>
          </w:tcPr>
          <w:p w14:paraId="01478C8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5.4.1乙方有义务制定详细的供货计划、到货时间表、安装调试和验收方案；</w:t>
            </w:r>
          </w:p>
          <w:p w14:paraId="5CE5A6B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5.4.2乙方有义务制定详细的项目人员名单和职责划分，并确保项目履约过程中不予变更，如发生变更承担违约责任；</w:t>
            </w:r>
          </w:p>
          <w:p w14:paraId="7287F60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5.4.3如确定发生第三方对项目验收，乙方应积极配合甲方及第三方的验收工作。</w:t>
            </w:r>
          </w:p>
        </w:tc>
      </w:tr>
      <w:tr w14:paraId="549127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vAlign w:val="center"/>
          </w:tcPr>
          <w:p w14:paraId="74D890F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09EB82D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w:t>
            </w:r>
            <w:r>
              <w:rPr>
                <w:rFonts w:hint="eastAsia" w:ascii="宋体" w:hAnsi="宋体" w:eastAsia="宋体" w:cs="Times New Roman"/>
                <w:snapToGrid/>
                <w:kern w:val="2"/>
                <w:sz w:val="21"/>
                <w:szCs w:val="21"/>
                <w:lang w:val="en-US" w:eastAsia="zh-CN"/>
              </w:rPr>
              <w:t>6.1款</w:t>
            </w:r>
          </w:p>
        </w:tc>
        <w:tc>
          <w:tcPr>
            <w:tcW w:w="1022" w:type="pct"/>
            <w:vAlign w:val="center"/>
          </w:tcPr>
          <w:p w14:paraId="1ED5BC4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履行合同义务的顺序</w:t>
            </w:r>
          </w:p>
        </w:tc>
        <w:tc>
          <w:tcPr>
            <w:tcW w:w="3034" w:type="pct"/>
            <w:vAlign w:val="center"/>
          </w:tcPr>
          <w:p w14:paraId="70B2DFC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bidi="ar-SA"/>
              </w:rPr>
            </w:pPr>
            <w:r>
              <w:rPr>
                <w:rFonts w:hint="eastAsia" w:ascii="宋体" w:hAnsi="宋体" w:eastAsia="宋体" w:cs="Times New Roman"/>
                <w:snapToGrid/>
                <w:kern w:val="2"/>
                <w:sz w:val="21"/>
                <w:szCs w:val="21"/>
                <w:lang w:val="en-US" w:eastAsia="zh-CN" w:bidi="ar-SA"/>
              </w:rPr>
              <w:t>/</w:t>
            </w:r>
          </w:p>
        </w:tc>
      </w:tr>
      <w:tr w14:paraId="35E87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2" w:type="pct"/>
            <w:vMerge w:val="restart"/>
            <w:vAlign w:val="center"/>
          </w:tcPr>
          <w:p w14:paraId="785021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64AC5FD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w:t>
            </w:r>
            <w:r>
              <w:rPr>
                <w:rFonts w:hint="eastAsia" w:ascii="宋体" w:hAnsi="宋体" w:eastAsia="宋体" w:cs="Times New Roman"/>
                <w:snapToGrid/>
                <w:kern w:val="2"/>
                <w:sz w:val="21"/>
                <w:szCs w:val="21"/>
                <w:lang w:val="en-US" w:eastAsia="zh-CN"/>
              </w:rPr>
              <w:t>7</w:t>
            </w:r>
            <w:r>
              <w:rPr>
                <w:rFonts w:hint="eastAsia" w:ascii="宋体" w:hAnsi="宋体" w:eastAsia="宋体" w:cs="Times New Roman"/>
                <w:snapToGrid/>
                <w:kern w:val="2"/>
                <w:sz w:val="21"/>
                <w:szCs w:val="21"/>
                <w:lang w:eastAsia="zh-CN"/>
              </w:rPr>
              <w:t>.1</w:t>
            </w:r>
            <w:r>
              <w:rPr>
                <w:rFonts w:hint="eastAsia" w:ascii="宋体" w:hAnsi="宋体" w:eastAsia="宋体" w:cs="Times New Roman"/>
                <w:snapToGrid/>
                <w:kern w:val="2"/>
                <w:sz w:val="21"/>
                <w:szCs w:val="21"/>
                <w:lang w:val="en-US" w:eastAsia="zh-CN"/>
              </w:rPr>
              <w:t>款</w:t>
            </w:r>
          </w:p>
        </w:tc>
        <w:tc>
          <w:tcPr>
            <w:tcW w:w="1022" w:type="pct"/>
            <w:vAlign w:val="center"/>
          </w:tcPr>
          <w:p w14:paraId="58BFDD9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包装特殊要求</w:t>
            </w:r>
          </w:p>
        </w:tc>
        <w:tc>
          <w:tcPr>
            <w:tcW w:w="3034" w:type="pct"/>
            <w:vAlign w:val="center"/>
          </w:tcPr>
          <w:p w14:paraId="1DFFC88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7.1</w:t>
            </w:r>
            <w:r>
              <w:rPr>
                <w:rFonts w:hint="eastAsia" w:ascii="Times New Roman" w:hAnsi="Times New Roman" w:eastAsia="宋体" w:cs="Times New Roman"/>
                <w:snapToGrid/>
                <w:kern w:val="2"/>
                <w:sz w:val="21"/>
                <w:szCs w:val="21"/>
                <w:lang w:eastAsia="zh-CN"/>
              </w:rPr>
              <w:t>.1乙方所提供的全部货物是厂家出厂的原包装。</w:t>
            </w:r>
          </w:p>
          <w:p w14:paraId="630037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7.1</w:t>
            </w:r>
            <w:r>
              <w:rPr>
                <w:rFonts w:hint="eastAsia" w:ascii="Times New Roman" w:hAnsi="Times New Roman" w:eastAsia="宋体" w:cs="Times New Roman"/>
                <w:snapToGrid/>
                <w:kern w:val="2"/>
                <w:sz w:val="21"/>
                <w:szCs w:val="21"/>
                <w:lang w:eastAsia="zh-CN"/>
              </w:rPr>
              <w:t>.2乙方提供的全部货物须采用相应标准及保护措施进行包装，这种包装方式适用于相应的运输方式，并有良好的防潮、防震、防锈和防野蛮装卸等保护措施，以便保证货物安全运抵现场。货物在运输过程中所发生锈、损坏和丢失及其他任何损失由乙方承担责任和费用。</w:t>
            </w:r>
          </w:p>
          <w:p w14:paraId="3800F4D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7.1</w:t>
            </w:r>
            <w:r>
              <w:rPr>
                <w:rFonts w:hint="eastAsia" w:ascii="Times New Roman" w:hAnsi="Times New Roman" w:eastAsia="宋体" w:cs="Times New Roman"/>
                <w:snapToGrid/>
                <w:kern w:val="2"/>
                <w:sz w:val="21"/>
                <w:szCs w:val="21"/>
                <w:lang w:eastAsia="zh-CN"/>
              </w:rPr>
              <w:t>.3每件包装应附有详细装箱清单和质量合格证书。</w:t>
            </w:r>
          </w:p>
        </w:tc>
      </w:tr>
      <w:tr w14:paraId="214A0C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2" w:type="pct"/>
            <w:vMerge w:val="continue"/>
            <w:vAlign w:val="center"/>
          </w:tcPr>
          <w:p w14:paraId="23172A2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p>
        </w:tc>
        <w:tc>
          <w:tcPr>
            <w:tcW w:w="1022" w:type="pct"/>
            <w:vAlign w:val="center"/>
          </w:tcPr>
          <w:p w14:paraId="0A236CE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指定现场</w:t>
            </w:r>
          </w:p>
        </w:tc>
        <w:tc>
          <w:tcPr>
            <w:tcW w:w="3034" w:type="pct"/>
            <w:vAlign w:val="center"/>
          </w:tcPr>
          <w:p w14:paraId="540F2E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登封市疾病预防控制中心或发货前采购人指定的现场</w:t>
            </w:r>
          </w:p>
        </w:tc>
      </w:tr>
      <w:tr w14:paraId="3AAA4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942" w:type="pct"/>
            <w:vAlign w:val="center"/>
          </w:tcPr>
          <w:p w14:paraId="79DA343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375C09D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w:t>
            </w:r>
            <w:r>
              <w:rPr>
                <w:rFonts w:hint="eastAsia" w:ascii="宋体" w:hAnsi="宋体" w:eastAsia="宋体" w:cs="Times New Roman"/>
                <w:snapToGrid/>
                <w:kern w:val="2"/>
                <w:sz w:val="21"/>
                <w:szCs w:val="21"/>
                <w:lang w:val="en-US" w:eastAsia="zh-CN"/>
              </w:rPr>
              <w:t>7</w:t>
            </w:r>
            <w:r>
              <w:rPr>
                <w:rFonts w:hint="eastAsia" w:ascii="宋体" w:hAnsi="宋体" w:eastAsia="宋体" w:cs="Times New Roman"/>
                <w:snapToGrid/>
                <w:kern w:val="2"/>
                <w:sz w:val="21"/>
                <w:szCs w:val="21"/>
                <w:lang w:eastAsia="zh-CN"/>
              </w:rPr>
              <w:t>.2</w:t>
            </w:r>
            <w:r>
              <w:rPr>
                <w:rFonts w:hint="eastAsia" w:ascii="宋体" w:hAnsi="宋体" w:eastAsia="宋体" w:cs="Times New Roman"/>
                <w:snapToGrid/>
                <w:kern w:val="2"/>
                <w:sz w:val="21"/>
                <w:szCs w:val="21"/>
                <w:lang w:val="en-US" w:eastAsia="zh-CN"/>
              </w:rPr>
              <w:t>款</w:t>
            </w:r>
          </w:p>
        </w:tc>
        <w:tc>
          <w:tcPr>
            <w:tcW w:w="1022" w:type="pct"/>
            <w:vAlign w:val="center"/>
          </w:tcPr>
          <w:p w14:paraId="594A766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运输特殊要求</w:t>
            </w:r>
          </w:p>
        </w:tc>
        <w:tc>
          <w:tcPr>
            <w:tcW w:w="3034" w:type="pct"/>
            <w:vAlign w:val="center"/>
          </w:tcPr>
          <w:p w14:paraId="56C387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宋体" w:cs="Times New Roman"/>
                <w:snapToGrid/>
                <w:kern w:val="2"/>
                <w:sz w:val="21"/>
                <w:szCs w:val="21"/>
                <w:lang w:val="en-US" w:eastAsia="zh-CN"/>
              </w:rPr>
            </w:pPr>
            <w:r>
              <w:rPr>
                <w:rFonts w:hint="eastAsia" w:ascii="Times New Roman" w:hAnsi="Times New Roman" w:eastAsia="宋体" w:cs="Times New Roman"/>
                <w:snapToGrid/>
                <w:kern w:val="2"/>
                <w:sz w:val="21"/>
                <w:szCs w:val="21"/>
                <w:lang w:val="en-US" w:eastAsia="zh-CN"/>
              </w:rPr>
              <w:t>/</w:t>
            </w:r>
          </w:p>
        </w:tc>
      </w:tr>
      <w:tr w14:paraId="3B46A3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942" w:type="pct"/>
            <w:vAlign w:val="center"/>
          </w:tcPr>
          <w:p w14:paraId="6704085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0B771B0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w:t>
            </w:r>
            <w:r>
              <w:rPr>
                <w:rFonts w:hint="eastAsia" w:ascii="宋体" w:hAnsi="宋体" w:eastAsia="宋体" w:cs="Times New Roman"/>
                <w:snapToGrid/>
                <w:kern w:val="2"/>
                <w:sz w:val="21"/>
                <w:szCs w:val="21"/>
                <w:lang w:val="en-US" w:eastAsia="zh-CN"/>
              </w:rPr>
              <w:t>7</w:t>
            </w:r>
            <w:r>
              <w:rPr>
                <w:rFonts w:hint="eastAsia" w:ascii="宋体" w:hAnsi="宋体" w:eastAsia="宋体" w:cs="Times New Roman"/>
                <w:snapToGrid/>
                <w:kern w:val="2"/>
                <w:sz w:val="21"/>
                <w:szCs w:val="21"/>
                <w:lang w:eastAsia="zh-CN"/>
              </w:rPr>
              <w:t>.3</w:t>
            </w:r>
            <w:r>
              <w:rPr>
                <w:rFonts w:hint="eastAsia" w:ascii="宋体" w:hAnsi="宋体" w:eastAsia="宋体" w:cs="Times New Roman"/>
                <w:snapToGrid/>
                <w:kern w:val="2"/>
                <w:sz w:val="21"/>
                <w:szCs w:val="21"/>
                <w:lang w:val="en-US" w:eastAsia="zh-CN"/>
              </w:rPr>
              <w:t>款</w:t>
            </w:r>
          </w:p>
        </w:tc>
        <w:tc>
          <w:tcPr>
            <w:tcW w:w="1022" w:type="pct"/>
            <w:vAlign w:val="center"/>
          </w:tcPr>
          <w:p w14:paraId="24A7B6D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保险要求</w:t>
            </w:r>
          </w:p>
        </w:tc>
        <w:tc>
          <w:tcPr>
            <w:tcW w:w="3034" w:type="pct"/>
            <w:vAlign w:val="center"/>
          </w:tcPr>
          <w:p w14:paraId="704CEE1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宋体" w:cs="Times New Roman"/>
                <w:snapToGrid/>
                <w:kern w:val="2"/>
                <w:sz w:val="21"/>
                <w:szCs w:val="21"/>
                <w:lang w:eastAsia="zh-CN"/>
              </w:rPr>
            </w:pPr>
            <w:r>
              <w:rPr>
                <w:rFonts w:hint="eastAsia" w:ascii="Times New Roman" w:hAnsi="Times New Roman" w:eastAsia="宋体" w:cs="Times New Roman"/>
                <w:snapToGrid/>
                <w:kern w:val="2"/>
                <w:sz w:val="21"/>
                <w:szCs w:val="21"/>
                <w:lang w:val="en-US" w:eastAsia="zh-CN"/>
              </w:rPr>
              <w:t>乙方</w:t>
            </w:r>
            <w:r>
              <w:rPr>
                <w:rFonts w:hint="eastAsia" w:ascii="Times New Roman" w:hAnsi="Times New Roman" w:eastAsia="宋体" w:cs="Times New Roman"/>
                <w:snapToGrid/>
                <w:kern w:val="2"/>
                <w:sz w:val="21"/>
                <w:szCs w:val="21"/>
                <w:lang w:eastAsia="zh-CN"/>
              </w:rPr>
              <w:t>应办理货物在运抵合同约定地点途中的保险及</w:t>
            </w:r>
            <w:r>
              <w:rPr>
                <w:rFonts w:hint="eastAsia" w:ascii="Times New Roman" w:hAnsi="Times New Roman" w:eastAsia="宋体" w:cs="Times New Roman"/>
                <w:snapToGrid/>
                <w:kern w:val="2"/>
                <w:sz w:val="21"/>
                <w:szCs w:val="21"/>
                <w:lang w:val="en-US" w:eastAsia="zh-CN"/>
              </w:rPr>
              <w:t>乙方</w:t>
            </w:r>
            <w:r>
              <w:rPr>
                <w:rFonts w:hint="eastAsia" w:ascii="Times New Roman" w:hAnsi="Times New Roman" w:eastAsia="宋体" w:cs="Times New Roman"/>
                <w:snapToGrid/>
                <w:kern w:val="2"/>
                <w:sz w:val="21"/>
                <w:szCs w:val="21"/>
                <w:lang w:eastAsia="zh-CN"/>
              </w:rPr>
              <w:t>派往</w:t>
            </w:r>
            <w:r>
              <w:rPr>
                <w:rFonts w:hint="eastAsia" w:ascii="Times New Roman" w:hAnsi="Times New Roman" w:eastAsia="宋体" w:cs="Times New Roman"/>
                <w:snapToGrid/>
                <w:kern w:val="2"/>
                <w:sz w:val="21"/>
                <w:szCs w:val="21"/>
                <w:lang w:val="en-US" w:eastAsia="zh-CN"/>
              </w:rPr>
              <w:t>甲方</w:t>
            </w:r>
            <w:r>
              <w:rPr>
                <w:rFonts w:hint="eastAsia" w:ascii="Times New Roman" w:hAnsi="Times New Roman" w:eastAsia="宋体" w:cs="Times New Roman"/>
                <w:snapToGrid/>
                <w:kern w:val="2"/>
                <w:sz w:val="21"/>
                <w:szCs w:val="21"/>
                <w:lang w:eastAsia="zh-CN"/>
              </w:rPr>
              <w:t>服务人员的保险，保险费已包含在合同价款中，货物按合同约定的时间装运、卸货至交货地点并完成签收前的风险由</w:t>
            </w:r>
            <w:r>
              <w:rPr>
                <w:rFonts w:hint="eastAsia" w:ascii="Times New Roman" w:hAnsi="Times New Roman" w:eastAsia="宋体" w:cs="Times New Roman"/>
                <w:snapToGrid/>
                <w:kern w:val="2"/>
                <w:sz w:val="21"/>
                <w:szCs w:val="21"/>
                <w:lang w:val="en-US" w:eastAsia="zh-CN"/>
              </w:rPr>
              <w:t>乙方</w:t>
            </w:r>
            <w:r>
              <w:rPr>
                <w:rFonts w:hint="eastAsia" w:ascii="Times New Roman" w:hAnsi="Times New Roman" w:eastAsia="宋体" w:cs="Times New Roman"/>
                <w:snapToGrid/>
                <w:kern w:val="2"/>
                <w:sz w:val="21"/>
                <w:szCs w:val="21"/>
                <w:lang w:eastAsia="zh-CN"/>
              </w:rPr>
              <w:t>负责。</w:t>
            </w:r>
          </w:p>
        </w:tc>
      </w:tr>
      <w:tr w14:paraId="35046F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vAlign w:val="center"/>
          </w:tcPr>
          <w:p w14:paraId="6A419C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343B561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w:t>
            </w:r>
            <w:r>
              <w:rPr>
                <w:rFonts w:hint="eastAsia" w:ascii="宋体" w:hAnsi="宋体" w:eastAsia="宋体" w:cs="Times New Roman"/>
                <w:snapToGrid/>
                <w:kern w:val="2"/>
                <w:sz w:val="21"/>
                <w:szCs w:val="21"/>
                <w:lang w:val="en-US" w:eastAsia="zh-CN"/>
              </w:rPr>
              <w:t>8</w:t>
            </w:r>
            <w:r>
              <w:rPr>
                <w:rFonts w:hint="eastAsia" w:ascii="宋体" w:hAnsi="宋体" w:eastAsia="宋体" w:cs="Times New Roman"/>
                <w:snapToGrid/>
                <w:kern w:val="2"/>
                <w:sz w:val="21"/>
                <w:szCs w:val="21"/>
                <w:lang w:eastAsia="zh-CN"/>
              </w:rPr>
              <w:t>.2（1）项</w:t>
            </w:r>
          </w:p>
        </w:tc>
        <w:tc>
          <w:tcPr>
            <w:tcW w:w="1022" w:type="pct"/>
            <w:vAlign w:val="center"/>
          </w:tcPr>
          <w:p w14:paraId="1CF35F1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质量保证期</w:t>
            </w:r>
          </w:p>
        </w:tc>
        <w:tc>
          <w:tcPr>
            <w:tcW w:w="3034" w:type="pct"/>
            <w:vAlign w:val="center"/>
          </w:tcPr>
          <w:p w14:paraId="1AD2397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投标文件中载明的质量保证期</w:t>
            </w:r>
          </w:p>
        </w:tc>
      </w:tr>
      <w:tr w14:paraId="61E6C0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vAlign w:val="center"/>
          </w:tcPr>
          <w:p w14:paraId="2C96C35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70CF379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w:t>
            </w:r>
            <w:r>
              <w:rPr>
                <w:rFonts w:hint="eastAsia" w:ascii="宋体" w:hAnsi="宋体" w:eastAsia="宋体" w:cs="Times New Roman"/>
                <w:snapToGrid/>
                <w:kern w:val="2"/>
                <w:sz w:val="21"/>
                <w:szCs w:val="21"/>
                <w:lang w:val="en-US" w:eastAsia="zh-CN"/>
              </w:rPr>
              <w:t>8</w:t>
            </w:r>
            <w:r>
              <w:rPr>
                <w:rFonts w:hint="eastAsia" w:ascii="宋体" w:hAnsi="宋体" w:eastAsia="宋体" w:cs="Times New Roman"/>
                <w:snapToGrid/>
                <w:kern w:val="2"/>
                <w:sz w:val="21"/>
                <w:szCs w:val="21"/>
                <w:lang w:eastAsia="zh-CN"/>
              </w:rPr>
              <w:t>.2（3）项</w:t>
            </w:r>
          </w:p>
        </w:tc>
        <w:tc>
          <w:tcPr>
            <w:tcW w:w="1022" w:type="pct"/>
            <w:vAlign w:val="center"/>
          </w:tcPr>
          <w:p w14:paraId="49E645F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货物质量缺陷</w:t>
            </w:r>
          </w:p>
          <w:p w14:paraId="6090B00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响应时间</w:t>
            </w:r>
          </w:p>
        </w:tc>
        <w:tc>
          <w:tcPr>
            <w:tcW w:w="3034" w:type="pct"/>
            <w:vAlign w:val="center"/>
          </w:tcPr>
          <w:p w14:paraId="3070578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招标文件采购需求要求的响应时间内</w:t>
            </w:r>
          </w:p>
        </w:tc>
      </w:tr>
      <w:tr w14:paraId="22F28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vAlign w:val="center"/>
          </w:tcPr>
          <w:p w14:paraId="2D5197C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napToGrid/>
                <w:kern w:val="2"/>
                <w:sz w:val="21"/>
                <w:szCs w:val="21"/>
                <w:lang w:val="en-US" w:eastAsia="zh-CN"/>
              </w:rPr>
            </w:pPr>
            <w:r>
              <w:rPr>
                <w:rFonts w:hint="eastAsia" w:ascii="宋体" w:hAnsi="宋体" w:eastAsia="宋体" w:cs="宋体"/>
                <w:snapToGrid/>
                <w:kern w:val="2"/>
                <w:sz w:val="21"/>
                <w:szCs w:val="21"/>
                <w:lang w:val="en-US" w:eastAsia="zh-CN"/>
              </w:rPr>
              <w:t>第二节</w:t>
            </w:r>
          </w:p>
          <w:p w14:paraId="00FF0F71">
            <w:pPr>
              <w:keepNext w:val="0"/>
              <w:keepLines w:val="0"/>
              <w:pageBreakBefore w:val="0"/>
              <w:wordWrap/>
              <w:overflowPunct/>
              <w:topLinePunct w:val="0"/>
              <w:autoSpaceDE w:val="0"/>
              <w:autoSpaceDN w:val="0"/>
              <w:bidi w:val="0"/>
              <w:adjustRightInd w:val="0"/>
              <w:spacing w:line="400" w:lineRule="exact"/>
              <w:ind w:firstLine="0" w:firstLineChars="0"/>
              <w:jc w:val="center"/>
              <w:rPr>
                <w:rFonts w:hint="default" w:ascii="华文楷体" w:hAnsi="华文楷体" w:eastAsia="华文楷体" w:cs="华文楷体"/>
                <w:sz w:val="21"/>
                <w:szCs w:val="21"/>
                <w:lang w:val="en-US" w:eastAsia="zh-CN" w:bidi="ar-SA"/>
              </w:rPr>
            </w:pPr>
            <w:r>
              <w:rPr>
                <w:rFonts w:hint="eastAsia" w:ascii="宋体" w:hAnsi="宋体" w:eastAsia="宋体" w:cs="宋体"/>
                <w:sz w:val="21"/>
                <w:szCs w:val="21"/>
                <w:lang w:val="en-US" w:eastAsia="zh-CN" w:bidi="ar-SA"/>
              </w:rPr>
              <w:t>第11.1款</w:t>
            </w:r>
          </w:p>
        </w:tc>
        <w:tc>
          <w:tcPr>
            <w:tcW w:w="1022" w:type="pct"/>
            <w:vAlign w:val="center"/>
          </w:tcPr>
          <w:p w14:paraId="12ECD26B">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其他应当保密的信息</w:t>
            </w:r>
          </w:p>
        </w:tc>
        <w:tc>
          <w:tcPr>
            <w:tcW w:w="3034" w:type="pct"/>
            <w:vAlign w:val="center"/>
          </w:tcPr>
          <w:p w14:paraId="585D493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项目所有相关的图纸、技术文件、资料等</w:t>
            </w:r>
          </w:p>
        </w:tc>
      </w:tr>
      <w:tr w14:paraId="60C873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2" w:type="pct"/>
            <w:vAlign w:val="center"/>
          </w:tcPr>
          <w:p w14:paraId="3D446C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33B2146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第1</w:t>
            </w:r>
            <w:r>
              <w:rPr>
                <w:rFonts w:hint="eastAsia" w:ascii="宋体" w:hAnsi="宋体" w:eastAsia="宋体" w:cs="Times New Roman"/>
                <w:snapToGrid/>
                <w:kern w:val="2"/>
                <w:sz w:val="21"/>
                <w:szCs w:val="21"/>
                <w:lang w:val="en-US" w:eastAsia="zh-CN"/>
              </w:rPr>
              <w:t>2</w:t>
            </w:r>
            <w:r>
              <w:rPr>
                <w:rFonts w:hint="eastAsia" w:ascii="宋体" w:hAnsi="宋体" w:eastAsia="宋体" w:cs="Times New Roman"/>
                <w:snapToGrid/>
                <w:kern w:val="2"/>
                <w:sz w:val="21"/>
                <w:szCs w:val="21"/>
                <w:lang w:eastAsia="zh-CN"/>
              </w:rPr>
              <w:t>.2款</w:t>
            </w:r>
          </w:p>
        </w:tc>
        <w:tc>
          <w:tcPr>
            <w:tcW w:w="1022" w:type="pct"/>
            <w:vAlign w:val="center"/>
          </w:tcPr>
          <w:p w14:paraId="25CA0BD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合同价款支付时间</w:t>
            </w:r>
          </w:p>
        </w:tc>
        <w:tc>
          <w:tcPr>
            <w:tcW w:w="3034" w:type="pct"/>
            <w:vAlign w:val="center"/>
          </w:tcPr>
          <w:p w14:paraId="036DAEEF">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Times New Roman"/>
                <w:snapToGrid/>
                <w:kern w:val="2"/>
                <w:sz w:val="21"/>
                <w:szCs w:val="21"/>
                <w:u w:val="none"/>
                <w:lang w:eastAsia="zh-CN"/>
              </w:rPr>
            </w:pPr>
            <w:r>
              <w:rPr>
                <w:rFonts w:hint="eastAsia" w:ascii="宋体" w:hAnsi="宋体" w:eastAsia="宋体" w:cs="Times New Roman"/>
                <w:snapToGrid/>
                <w:kern w:val="2"/>
                <w:sz w:val="21"/>
                <w:szCs w:val="21"/>
                <w:u w:val="none"/>
                <w:lang w:eastAsia="zh-CN"/>
              </w:rPr>
              <w:t>甲方验收合格并实际交付使用后</w:t>
            </w:r>
            <w:r>
              <w:rPr>
                <w:rFonts w:hint="eastAsia" w:ascii="宋体" w:hAnsi="宋体" w:eastAsia="宋体" w:cs="Times New Roman"/>
                <w:snapToGrid/>
                <w:kern w:val="2"/>
                <w:sz w:val="21"/>
                <w:szCs w:val="21"/>
                <w:u w:val="none"/>
                <w:lang w:val="en-US" w:eastAsia="zh-CN"/>
              </w:rPr>
              <w:t>15</w:t>
            </w:r>
            <w:r>
              <w:rPr>
                <w:rFonts w:hint="eastAsia" w:ascii="宋体" w:hAnsi="宋体" w:eastAsia="宋体" w:cs="Times New Roman"/>
                <w:snapToGrid/>
                <w:kern w:val="2"/>
                <w:sz w:val="21"/>
                <w:szCs w:val="21"/>
                <w:u w:val="none"/>
                <w:lang w:eastAsia="zh-CN"/>
              </w:rPr>
              <w:t>个工作日内，甲方凭乙方开具的100%合同总价的增值税普通发票（一般纳税人）及双方签署的《采购合同》向乙方支付至合同总价的</w:t>
            </w:r>
            <w:r>
              <w:rPr>
                <w:rFonts w:hint="eastAsia" w:ascii="宋体" w:hAnsi="宋体" w:eastAsia="宋体" w:cs="Times New Roman"/>
                <w:snapToGrid/>
                <w:kern w:val="2"/>
                <w:sz w:val="21"/>
                <w:szCs w:val="21"/>
                <w:u w:val="single"/>
                <w:lang w:val="en-US" w:eastAsia="zh-CN"/>
              </w:rPr>
              <w:t>95</w:t>
            </w:r>
            <w:r>
              <w:rPr>
                <w:rFonts w:hint="eastAsia" w:ascii="宋体" w:hAnsi="宋体" w:eastAsia="宋体" w:cs="Times New Roman"/>
                <w:snapToGrid/>
                <w:kern w:val="2"/>
                <w:sz w:val="21"/>
                <w:szCs w:val="21"/>
                <w:u w:val="single"/>
                <w:lang w:eastAsia="zh-CN"/>
              </w:rPr>
              <w:t>%</w:t>
            </w:r>
            <w:r>
              <w:rPr>
                <w:rFonts w:hint="eastAsia" w:ascii="宋体" w:hAnsi="宋体" w:eastAsia="宋体" w:cs="Times New Roman"/>
                <w:snapToGrid/>
                <w:kern w:val="2"/>
                <w:sz w:val="21"/>
                <w:szCs w:val="21"/>
                <w:u w:val="none"/>
                <w:lang w:eastAsia="zh-CN"/>
              </w:rPr>
              <w:t>，即：人民币¥</w:t>
            </w:r>
            <w:r>
              <w:rPr>
                <w:rFonts w:hint="eastAsia" w:ascii="宋体" w:hAnsi="宋体" w:eastAsia="宋体" w:cs="Times New Roman"/>
                <w:snapToGrid/>
                <w:kern w:val="2"/>
                <w:sz w:val="21"/>
                <w:szCs w:val="21"/>
                <w:u w:val="single"/>
                <w:lang w:eastAsia="zh-CN"/>
              </w:rPr>
              <w:t xml:space="preserve">        </w:t>
            </w:r>
            <w:r>
              <w:rPr>
                <w:rFonts w:hint="eastAsia" w:ascii="宋体" w:hAnsi="宋体" w:eastAsia="宋体" w:cs="Times New Roman"/>
                <w:snapToGrid/>
                <w:kern w:val="2"/>
                <w:sz w:val="21"/>
                <w:szCs w:val="21"/>
                <w:u w:val="none"/>
                <w:lang w:eastAsia="zh-CN"/>
              </w:rPr>
              <w:t>元（大写：</w:t>
            </w:r>
            <w:r>
              <w:rPr>
                <w:rFonts w:hint="eastAsia" w:ascii="宋体" w:hAnsi="宋体" w:eastAsia="宋体" w:cs="Times New Roman"/>
                <w:snapToGrid/>
                <w:kern w:val="2"/>
                <w:sz w:val="21"/>
                <w:szCs w:val="21"/>
                <w:u w:val="single"/>
                <w:lang w:eastAsia="zh-CN"/>
              </w:rPr>
              <w:t xml:space="preserve">               </w:t>
            </w:r>
            <w:r>
              <w:rPr>
                <w:rFonts w:hint="eastAsia" w:ascii="宋体" w:hAnsi="宋体" w:eastAsia="宋体" w:cs="Times New Roman"/>
                <w:snapToGrid/>
                <w:kern w:val="2"/>
                <w:sz w:val="21"/>
                <w:szCs w:val="21"/>
                <w:u w:val="none"/>
                <w:lang w:eastAsia="zh-CN"/>
              </w:rPr>
              <w:t xml:space="preserve"> ）。</w:t>
            </w:r>
          </w:p>
          <w:p w14:paraId="47BA7326">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u w:val="none"/>
                <w:lang w:eastAsia="zh-CN"/>
              </w:rPr>
              <w:t>预留合同总价的</w:t>
            </w:r>
            <w:r>
              <w:rPr>
                <w:rFonts w:hint="eastAsia" w:ascii="宋体" w:hAnsi="宋体" w:eastAsia="宋体" w:cs="Times New Roman"/>
                <w:snapToGrid/>
                <w:kern w:val="2"/>
                <w:sz w:val="21"/>
                <w:szCs w:val="21"/>
                <w:u w:val="single"/>
                <w:lang w:val="en-US" w:eastAsia="zh-CN"/>
              </w:rPr>
              <w:t>5</w:t>
            </w:r>
            <w:r>
              <w:rPr>
                <w:rFonts w:hint="eastAsia" w:ascii="宋体" w:hAnsi="宋体" w:eastAsia="宋体" w:cs="Times New Roman"/>
                <w:snapToGrid/>
                <w:kern w:val="2"/>
                <w:sz w:val="21"/>
                <w:szCs w:val="21"/>
                <w:u w:val="single"/>
                <w:lang w:eastAsia="zh-CN"/>
              </w:rPr>
              <w:t>%</w:t>
            </w:r>
            <w:r>
              <w:rPr>
                <w:rFonts w:hint="eastAsia" w:ascii="宋体" w:hAnsi="宋体" w:eastAsia="宋体" w:cs="Times New Roman"/>
                <w:snapToGrid/>
                <w:kern w:val="2"/>
                <w:sz w:val="21"/>
                <w:szCs w:val="21"/>
                <w:u w:val="none"/>
                <w:lang w:eastAsia="zh-CN"/>
              </w:rPr>
              <w:t>作为质量和售后服务保证金，待设备验收合格并安全运行</w:t>
            </w:r>
            <w:r>
              <w:rPr>
                <w:rFonts w:hint="eastAsia" w:ascii="宋体" w:hAnsi="宋体" w:eastAsia="宋体" w:cs="Times New Roman"/>
                <w:snapToGrid/>
                <w:kern w:val="2"/>
                <w:sz w:val="21"/>
                <w:szCs w:val="21"/>
                <w:u w:val="none"/>
                <w:lang w:val="en-US" w:eastAsia="zh-CN"/>
              </w:rPr>
              <w:t>2</w:t>
            </w:r>
            <w:r>
              <w:rPr>
                <w:rFonts w:hint="eastAsia" w:ascii="宋体" w:hAnsi="宋体" w:eastAsia="宋体" w:cs="Times New Roman"/>
                <w:snapToGrid/>
                <w:kern w:val="2"/>
                <w:sz w:val="21"/>
                <w:szCs w:val="21"/>
                <w:u w:val="none"/>
                <w:lang w:eastAsia="zh-CN"/>
              </w:rPr>
              <w:t>年（自验收合格之日起计算）后，如无质量及售后服务等其他违约事项，甲方应在本条前述期满后</w:t>
            </w:r>
            <w:r>
              <w:rPr>
                <w:rFonts w:hint="eastAsia" w:ascii="宋体" w:hAnsi="宋体" w:eastAsia="宋体" w:cs="Times New Roman"/>
                <w:snapToGrid/>
                <w:kern w:val="2"/>
                <w:sz w:val="21"/>
                <w:szCs w:val="21"/>
                <w:u w:val="none"/>
                <w:lang w:val="en-US" w:eastAsia="zh-CN"/>
              </w:rPr>
              <w:t>15</w:t>
            </w:r>
            <w:r>
              <w:rPr>
                <w:rFonts w:hint="eastAsia" w:ascii="宋体" w:hAnsi="宋体" w:eastAsia="宋体" w:cs="Times New Roman"/>
                <w:snapToGrid/>
                <w:kern w:val="2"/>
                <w:sz w:val="21"/>
                <w:szCs w:val="21"/>
                <w:u w:val="none"/>
                <w:lang w:eastAsia="zh-CN"/>
              </w:rPr>
              <w:t>个工作日内向乙方支付剩余合同金额。</w:t>
            </w:r>
          </w:p>
        </w:tc>
      </w:tr>
      <w:tr w14:paraId="346E8A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42" w:type="pct"/>
            <w:vAlign w:val="center"/>
          </w:tcPr>
          <w:p w14:paraId="443C8EF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0B684FD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w:t>
            </w:r>
            <w:r>
              <w:rPr>
                <w:rFonts w:hint="eastAsia" w:ascii="宋体" w:hAnsi="宋体" w:eastAsia="宋体" w:cs="Times New Roman"/>
                <w:snapToGrid/>
                <w:kern w:val="2"/>
                <w:sz w:val="21"/>
                <w:szCs w:val="21"/>
                <w:lang w:val="en-US" w:eastAsia="zh-CN"/>
              </w:rPr>
              <w:t>13.2</w:t>
            </w:r>
            <w:r>
              <w:rPr>
                <w:rFonts w:hint="eastAsia" w:ascii="宋体" w:hAnsi="宋体" w:eastAsia="宋体" w:cs="Times New Roman"/>
                <w:snapToGrid/>
                <w:kern w:val="2"/>
                <w:sz w:val="21"/>
                <w:szCs w:val="21"/>
                <w:lang w:eastAsia="zh-CN"/>
              </w:rPr>
              <w:t>款</w:t>
            </w:r>
          </w:p>
        </w:tc>
        <w:tc>
          <w:tcPr>
            <w:tcW w:w="1022" w:type="pct"/>
            <w:vAlign w:val="center"/>
          </w:tcPr>
          <w:p w14:paraId="39D6622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履约保证金不予退还的情形</w:t>
            </w:r>
          </w:p>
        </w:tc>
        <w:tc>
          <w:tcPr>
            <w:tcW w:w="3034" w:type="pct"/>
            <w:vAlign w:val="center"/>
          </w:tcPr>
          <w:p w14:paraId="0AA997F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本项目不设置履约保证金</w:t>
            </w:r>
          </w:p>
        </w:tc>
      </w:tr>
      <w:tr w14:paraId="0CA2AA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vAlign w:val="center"/>
          </w:tcPr>
          <w:p w14:paraId="65B233B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0AC86B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w:t>
            </w:r>
            <w:r>
              <w:rPr>
                <w:rFonts w:hint="eastAsia" w:ascii="宋体" w:hAnsi="宋体" w:eastAsia="宋体" w:cs="Times New Roman"/>
                <w:snapToGrid/>
                <w:kern w:val="2"/>
                <w:sz w:val="21"/>
                <w:szCs w:val="21"/>
                <w:lang w:val="en-US" w:eastAsia="zh-CN"/>
              </w:rPr>
              <w:t>13.3</w:t>
            </w:r>
            <w:r>
              <w:rPr>
                <w:rFonts w:hint="eastAsia" w:ascii="宋体" w:hAnsi="宋体" w:eastAsia="宋体" w:cs="Times New Roman"/>
                <w:snapToGrid/>
                <w:kern w:val="2"/>
                <w:sz w:val="21"/>
                <w:szCs w:val="21"/>
                <w:lang w:eastAsia="zh-CN"/>
              </w:rPr>
              <w:t>款</w:t>
            </w:r>
          </w:p>
        </w:tc>
        <w:tc>
          <w:tcPr>
            <w:tcW w:w="1022" w:type="pct"/>
            <w:vAlign w:val="center"/>
          </w:tcPr>
          <w:p w14:paraId="1B43B5E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履约保证金退还时间及逾期退还的违约金</w:t>
            </w:r>
          </w:p>
        </w:tc>
        <w:tc>
          <w:tcPr>
            <w:tcW w:w="3034" w:type="pct"/>
            <w:vAlign w:val="center"/>
          </w:tcPr>
          <w:p w14:paraId="052B4D8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w:t>
            </w:r>
          </w:p>
        </w:tc>
      </w:tr>
      <w:tr w14:paraId="4074D4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2" w:type="pct"/>
            <w:vAlign w:val="center"/>
          </w:tcPr>
          <w:p w14:paraId="385CC08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0D51524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第1</w:t>
            </w:r>
            <w:r>
              <w:rPr>
                <w:rFonts w:hint="eastAsia" w:ascii="宋体" w:hAnsi="宋体" w:eastAsia="宋体" w:cs="Times New Roman"/>
                <w:snapToGrid/>
                <w:kern w:val="2"/>
                <w:sz w:val="21"/>
                <w:szCs w:val="21"/>
                <w:lang w:val="en-US" w:eastAsia="zh-CN"/>
              </w:rPr>
              <w:t>4</w:t>
            </w:r>
            <w:r>
              <w:rPr>
                <w:rFonts w:hint="eastAsia" w:ascii="宋体" w:hAnsi="宋体" w:eastAsia="宋体" w:cs="Times New Roman"/>
                <w:snapToGrid/>
                <w:kern w:val="2"/>
                <w:sz w:val="21"/>
                <w:szCs w:val="21"/>
                <w:lang w:eastAsia="zh-CN"/>
              </w:rPr>
              <w:t>.1（</w:t>
            </w:r>
            <w:r>
              <w:rPr>
                <w:rFonts w:hint="eastAsia" w:ascii="宋体" w:hAnsi="宋体" w:eastAsia="宋体" w:cs="Times New Roman"/>
                <w:snapToGrid/>
                <w:kern w:val="2"/>
                <w:sz w:val="21"/>
                <w:szCs w:val="21"/>
                <w:lang w:val="en-US" w:eastAsia="zh-CN"/>
              </w:rPr>
              <w:t>3</w:t>
            </w:r>
            <w:r>
              <w:rPr>
                <w:rFonts w:hint="eastAsia" w:ascii="宋体" w:hAnsi="宋体" w:eastAsia="宋体" w:cs="Times New Roman"/>
                <w:snapToGrid/>
                <w:kern w:val="2"/>
                <w:sz w:val="21"/>
                <w:szCs w:val="21"/>
                <w:lang w:eastAsia="zh-CN"/>
              </w:rPr>
              <w:t>）项</w:t>
            </w:r>
          </w:p>
        </w:tc>
        <w:tc>
          <w:tcPr>
            <w:tcW w:w="1022" w:type="pct"/>
            <w:vAlign w:val="center"/>
          </w:tcPr>
          <w:p w14:paraId="692C729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运行监督、维修期限</w:t>
            </w:r>
          </w:p>
        </w:tc>
        <w:tc>
          <w:tcPr>
            <w:tcW w:w="3034" w:type="pct"/>
            <w:vAlign w:val="center"/>
          </w:tcPr>
          <w:p w14:paraId="2064023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所有设备验收移交前</w:t>
            </w:r>
          </w:p>
        </w:tc>
      </w:tr>
      <w:tr w14:paraId="50C972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42" w:type="pct"/>
            <w:vAlign w:val="center"/>
          </w:tcPr>
          <w:p w14:paraId="1FD5967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6ACD328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第1</w:t>
            </w:r>
            <w:r>
              <w:rPr>
                <w:rFonts w:hint="eastAsia" w:ascii="宋体" w:hAnsi="宋体" w:eastAsia="宋体" w:cs="Times New Roman"/>
                <w:snapToGrid/>
                <w:kern w:val="2"/>
                <w:sz w:val="21"/>
                <w:szCs w:val="21"/>
                <w:lang w:val="en-US" w:eastAsia="zh-CN"/>
              </w:rPr>
              <w:t>4</w:t>
            </w:r>
            <w:r>
              <w:rPr>
                <w:rFonts w:hint="eastAsia" w:ascii="宋体" w:hAnsi="宋体" w:eastAsia="宋体" w:cs="Times New Roman"/>
                <w:snapToGrid/>
                <w:kern w:val="2"/>
                <w:sz w:val="21"/>
                <w:szCs w:val="21"/>
                <w:lang w:eastAsia="zh-CN"/>
              </w:rPr>
              <w:t>.1（</w:t>
            </w:r>
            <w:r>
              <w:rPr>
                <w:rFonts w:hint="eastAsia" w:ascii="宋体" w:hAnsi="宋体" w:eastAsia="宋体" w:cs="Times New Roman"/>
                <w:snapToGrid/>
                <w:kern w:val="2"/>
                <w:sz w:val="21"/>
                <w:szCs w:val="21"/>
                <w:lang w:val="en-US" w:eastAsia="zh-CN"/>
              </w:rPr>
              <w:t>5</w:t>
            </w:r>
            <w:r>
              <w:rPr>
                <w:rFonts w:hint="eastAsia" w:ascii="宋体" w:hAnsi="宋体" w:eastAsia="宋体" w:cs="Times New Roman"/>
                <w:snapToGrid/>
                <w:kern w:val="2"/>
                <w:sz w:val="21"/>
                <w:szCs w:val="21"/>
                <w:lang w:eastAsia="zh-CN"/>
              </w:rPr>
              <w:t>）项</w:t>
            </w:r>
          </w:p>
        </w:tc>
        <w:tc>
          <w:tcPr>
            <w:tcW w:w="1022" w:type="pct"/>
            <w:vAlign w:val="center"/>
          </w:tcPr>
          <w:p w14:paraId="098C6AB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货物回收的约定</w:t>
            </w:r>
          </w:p>
        </w:tc>
        <w:tc>
          <w:tcPr>
            <w:tcW w:w="3034" w:type="pct"/>
            <w:vAlign w:val="center"/>
          </w:tcPr>
          <w:p w14:paraId="617D5D3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w:t>
            </w:r>
          </w:p>
        </w:tc>
      </w:tr>
      <w:tr w14:paraId="208014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vAlign w:val="center"/>
          </w:tcPr>
          <w:p w14:paraId="39B3D51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66C966A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第1</w:t>
            </w:r>
            <w:r>
              <w:rPr>
                <w:rFonts w:hint="eastAsia" w:ascii="宋体" w:hAnsi="宋体" w:eastAsia="宋体" w:cs="Times New Roman"/>
                <w:snapToGrid/>
                <w:kern w:val="2"/>
                <w:sz w:val="21"/>
                <w:szCs w:val="21"/>
                <w:lang w:val="en-US" w:eastAsia="zh-CN"/>
              </w:rPr>
              <w:t>4</w:t>
            </w:r>
            <w:r>
              <w:rPr>
                <w:rFonts w:hint="eastAsia" w:ascii="宋体" w:hAnsi="宋体" w:eastAsia="宋体" w:cs="Times New Roman"/>
                <w:snapToGrid/>
                <w:kern w:val="2"/>
                <w:sz w:val="21"/>
                <w:szCs w:val="21"/>
                <w:lang w:eastAsia="zh-CN"/>
              </w:rPr>
              <w:t>.1（</w:t>
            </w:r>
            <w:r>
              <w:rPr>
                <w:rFonts w:hint="eastAsia" w:ascii="宋体" w:hAnsi="宋体" w:eastAsia="宋体" w:cs="Times New Roman"/>
                <w:snapToGrid/>
                <w:kern w:val="2"/>
                <w:sz w:val="21"/>
                <w:szCs w:val="21"/>
                <w:lang w:val="en-US" w:eastAsia="zh-CN"/>
              </w:rPr>
              <w:t>6</w:t>
            </w:r>
            <w:r>
              <w:rPr>
                <w:rFonts w:hint="eastAsia" w:ascii="宋体" w:hAnsi="宋体" w:eastAsia="宋体" w:cs="Times New Roman"/>
                <w:snapToGrid/>
                <w:kern w:val="2"/>
                <w:sz w:val="21"/>
                <w:szCs w:val="21"/>
                <w:lang w:eastAsia="zh-CN"/>
              </w:rPr>
              <w:t>）项</w:t>
            </w:r>
          </w:p>
        </w:tc>
        <w:tc>
          <w:tcPr>
            <w:tcW w:w="1022" w:type="pct"/>
            <w:vAlign w:val="center"/>
          </w:tcPr>
          <w:p w14:paraId="5B5B13B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乙方提供的其他服务</w:t>
            </w:r>
          </w:p>
        </w:tc>
        <w:tc>
          <w:tcPr>
            <w:tcW w:w="3034" w:type="pct"/>
            <w:vAlign w:val="center"/>
          </w:tcPr>
          <w:p w14:paraId="4EC7C1C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w:t>
            </w:r>
          </w:p>
        </w:tc>
      </w:tr>
      <w:tr w14:paraId="0690A2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vAlign w:val="center"/>
          </w:tcPr>
          <w:p w14:paraId="53C4CF8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6497DA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eastAsia="zh-CN"/>
              </w:rPr>
              <w:t>第1</w:t>
            </w:r>
            <w:r>
              <w:rPr>
                <w:rFonts w:hint="eastAsia" w:ascii="宋体" w:hAnsi="宋体" w:eastAsia="宋体" w:cs="Times New Roman"/>
                <w:snapToGrid/>
                <w:kern w:val="2"/>
                <w:sz w:val="21"/>
                <w:szCs w:val="21"/>
                <w:lang w:val="en-US" w:eastAsia="zh-CN"/>
              </w:rPr>
              <w:t>5</w:t>
            </w:r>
            <w:r>
              <w:rPr>
                <w:rFonts w:hint="eastAsia" w:ascii="宋体" w:hAnsi="宋体" w:eastAsia="宋体" w:cs="Times New Roman"/>
                <w:snapToGrid/>
                <w:kern w:val="2"/>
                <w:sz w:val="21"/>
                <w:szCs w:val="21"/>
                <w:lang w:eastAsia="zh-CN"/>
              </w:rPr>
              <w:t>.</w:t>
            </w:r>
            <w:r>
              <w:rPr>
                <w:rFonts w:hint="eastAsia" w:ascii="宋体" w:hAnsi="宋体" w:eastAsia="宋体" w:cs="Times New Roman"/>
                <w:snapToGrid/>
                <w:kern w:val="2"/>
                <w:sz w:val="21"/>
                <w:szCs w:val="21"/>
                <w:lang w:val="en-US" w:eastAsia="zh-CN"/>
              </w:rPr>
              <w:t>1款</w:t>
            </w:r>
          </w:p>
        </w:tc>
        <w:tc>
          <w:tcPr>
            <w:tcW w:w="1022" w:type="pct"/>
            <w:vAlign w:val="center"/>
          </w:tcPr>
          <w:p w14:paraId="4B461CA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color w:val="auto"/>
                <w:kern w:val="2"/>
                <w:sz w:val="21"/>
                <w:szCs w:val="21"/>
                <w:highlight w:val="none"/>
                <w:lang w:eastAsia="zh-CN"/>
              </w:rPr>
              <w:t>修理、重作、更换相关具体规定</w:t>
            </w:r>
          </w:p>
        </w:tc>
        <w:tc>
          <w:tcPr>
            <w:tcW w:w="3034" w:type="pct"/>
            <w:vAlign w:val="center"/>
          </w:tcPr>
          <w:p w14:paraId="42A4491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Times New Roman"/>
                <w:snapToGrid/>
                <w:kern w:val="2"/>
                <w:sz w:val="21"/>
                <w:szCs w:val="21"/>
                <w:lang w:eastAsia="zh-CN"/>
              </w:rPr>
            </w:pPr>
          </w:p>
        </w:tc>
      </w:tr>
      <w:tr w14:paraId="70A23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vAlign w:val="center"/>
          </w:tcPr>
          <w:p w14:paraId="52ED6FA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0A4F495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第1</w:t>
            </w:r>
            <w:r>
              <w:rPr>
                <w:rFonts w:hint="eastAsia" w:ascii="宋体" w:hAnsi="宋体" w:eastAsia="宋体" w:cs="Times New Roman"/>
                <w:snapToGrid/>
                <w:kern w:val="2"/>
                <w:sz w:val="21"/>
                <w:szCs w:val="21"/>
                <w:lang w:val="en-US" w:eastAsia="zh-CN"/>
              </w:rPr>
              <w:t>5</w:t>
            </w:r>
            <w:r>
              <w:rPr>
                <w:rFonts w:hint="eastAsia" w:ascii="宋体" w:hAnsi="宋体" w:eastAsia="宋体" w:cs="Times New Roman"/>
                <w:snapToGrid/>
                <w:kern w:val="2"/>
                <w:sz w:val="21"/>
                <w:szCs w:val="21"/>
                <w:lang w:eastAsia="zh-CN"/>
              </w:rPr>
              <w:t>.2（2）项</w:t>
            </w:r>
          </w:p>
        </w:tc>
        <w:tc>
          <w:tcPr>
            <w:tcW w:w="1022" w:type="pct"/>
            <w:vAlign w:val="center"/>
          </w:tcPr>
          <w:p w14:paraId="34CF554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迟延交货赔偿费</w:t>
            </w:r>
          </w:p>
        </w:tc>
        <w:tc>
          <w:tcPr>
            <w:tcW w:w="3034" w:type="pct"/>
            <w:vAlign w:val="center"/>
          </w:tcPr>
          <w:p w14:paraId="4BB2FB5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Times New Roman"/>
                <w:snapToGrid/>
                <w:kern w:val="2"/>
                <w:sz w:val="21"/>
                <w:szCs w:val="21"/>
                <w:u w:val="single"/>
                <w:lang w:eastAsia="zh-CN"/>
              </w:rPr>
            </w:pPr>
            <w:r>
              <w:rPr>
                <w:rFonts w:hint="eastAsia" w:ascii="Times New Roman" w:hAnsi="Times New Roman" w:eastAsia="宋体"/>
                <w:bCs/>
                <w:color w:val="000000"/>
                <w:sz w:val="21"/>
                <w:szCs w:val="21"/>
              </w:rPr>
              <w:t>乙方未能按时交货或未能按时交付使用的，每逾期一日，乙方应支付逾期交货货款</w:t>
            </w:r>
            <w:r>
              <w:rPr>
                <w:rFonts w:hint="eastAsia" w:ascii="Times New Roman" w:hAnsi="Times New Roman" w:eastAsia="宋体"/>
                <w:bCs/>
                <w:color w:val="000000"/>
                <w:sz w:val="21"/>
                <w:szCs w:val="21"/>
                <w:u w:val="single"/>
              </w:rPr>
              <w:t>1</w:t>
            </w:r>
            <w:r>
              <w:rPr>
                <w:rFonts w:hint="eastAsia" w:ascii="宋体" w:hAnsi="宋体" w:cs="宋体"/>
                <w:bCs/>
                <w:color w:val="auto"/>
                <w:sz w:val="21"/>
                <w:szCs w:val="21"/>
                <w:highlight w:val="none"/>
                <w:u w:val="single"/>
              </w:rPr>
              <w:t>%</w:t>
            </w:r>
            <w:r>
              <w:rPr>
                <w:rFonts w:hint="eastAsia" w:ascii="Times New Roman" w:hAnsi="Times New Roman" w:eastAsia="宋体"/>
                <w:bCs/>
                <w:color w:val="000000"/>
                <w:sz w:val="21"/>
                <w:szCs w:val="21"/>
              </w:rPr>
              <w:t>违约金。逾期超过</w:t>
            </w:r>
            <w:r>
              <w:rPr>
                <w:rFonts w:hint="eastAsia" w:ascii="Times New Roman" w:hAnsi="Times New Roman" w:eastAsia="宋体"/>
                <w:bCs/>
                <w:color w:val="000000"/>
                <w:sz w:val="21"/>
                <w:szCs w:val="21"/>
                <w:u w:val="single"/>
              </w:rPr>
              <w:t xml:space="preserve">30 </w:t>
            </w:r>
            <w:r>
              <w:rPr>
                <w:rFonts w:hint="eastAsia" w:ascii="Times New Roman" w:hAnsi="Times New Roman" w:eastAsia="宋体"/>
                <w:bCs/>
                <w:color w:val="000000"/>
                <w:sz w:val="21"/>
                <w:szCs w:val="21"/>
              </w:rPr>
              <w:t>个日历日，甲方有权单方解除本合同，乙方应另外支付合同总价</w:t>
            </w:r>
            <w:r>
              <w:rPr>
                <w:rFonts w:hint="eastAsia" w:ascii="Times New Roman" w:hAnsi="Times New Roman" w:eastAsia="宋体"/>
                <w:bCs/>
                <w:color w:val="000000"/>
                <w:sz w:val="21"/>
                <w:szCs w:val="21"/>
                <w:u w:val="single"/>
                <w:lang w:val="en-US" w:eastAsia="zh-CN"/>
              </w:rPr>
              <w:t>30</w:t>
            </w:r>
            <w:r>
              <w:rPr>
                <w:rFonts w:hint="eastAsia" w:ascii="Times New Roman" w:hAnsi="Times New Roman" w:eastAsia="宋体"/>
                <w:bCs/>
                <w:color w:val="000000"/>
                <w:sz w:val="21"/>
                <w:szCs w:val="21"/>
                <w:u w:val="single"/>
              </w:rPr>
              <w:t>%</w:t>
            </w:r>
            <w:r>
              <w:rPr>
                <w:rFonts w:hint="eastAsia" w:ascii="Times New Roman" w:hAnsi="Times New Roman" w:eastAsia="宋体"/>
                <w:bCs/>
                <w:color w:val="000000"/>
                <w:sz w:val="21"/>
                <w:szCs w:val="21"/>
              </w:rPr>
              <w:t>的违约金</w:t>
            </w:r>
          </w:p>
        </w:tc>
      </w:tr>
      <w:tr w14:paraId="32120A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942" w:type="pct"/>
            <w:vAlign w:val="center"/>
          </w:tcPr>
          <w:p w14:paraId="6FBA82C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73BA096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第1</w:t>
            </w:r>
            <w:r>
              <w:rPr>
                <w:rFonts w:hint="eastAsia" w:ascii="宋体" w:hAnsi="宋体" w:eastAsia="宋体" w:cs="Times New Roman"/>
                <w:snapToGrid/>
                <w:kern w:val="2"/>
                <w:sz w:val="21"/>
                <w:szCs w:val="21"/>
                <w:lang w:val="en-US" w:eastAsia="zh-CN"/>
              </w:rPr>
              <w:t>5</w:t>
            </w:r>
            <w:r>
              <w:rPr>
                <w:rFonts w:hint="eastAsia" w:ascii="宋体" w:hAnsi="宋体" w:eastAsia="宋体" w:cs="Times New Roman"/>
                <w:snapToGrid/>
                <w:kern w:val="2"/>
                <w:sz w:val="21"/>
                <w:szCs w:val="21"/>
                <w:lang w:eastAsia="zh-CN"/>
              </w:rPr>
              <w:t>.</w:t>
            </w:r>
            <w:r>
              <w:rPr>
                <w:rFonts w:hint="eastAsia" w:ascii="宋体" w:hAnsi="宋体" w:eastAsia="宋体" w:cs="Times New Roman"/>
                <w:snapToGrid/>
                <w:kern w:val="2"/>
                <w:sz w:val="21"/>
                <w:szCs w:val="21"/>
                <w:lang w:val="en-US" w:eastAsia="zh-CN"/>
              </w:rPr>
              <w:t>3款</w:t>
            </w:r>
          </w:p>
        </w:tc>
        <w:tc>
          <w:tcPr>
            <w:tcW w:w="1022" w:type="pct"/>
            <w:vAlign w:val="center"/>
          </w:tcPr>
          <w:p w14:paraId="0373566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逾期付款利息</w:t>
            </w:r>
          </w:p>
        </w:tc>
        <w:tc>
          <w:tcPr>
            <w:tcW w:w="3034" w:type="pct"/>
            <w:vAlign w:val="center"/>
          </w:tcPr>
          <w:p w14:paraId="0311AAB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u w:val="single"/>
                <w:lang w:val="en-US" w:eastAsia="zh-CN"/>
              </w:rPr>
            </w:pPr>
            <w:r>
              <w:rPr>
                <w:rFonts w:hint="eastAsia" w:ascii="宋体" w:hAnsi="宋体" w:eastAsia="宋体" w:cs="Times New Roman"/>
                <w:snapToGrid/>
                <w:kern w:val="2"/>
                <w:sz w:val="21"/>
                <w:szCs w:val="21"/>
                <w:u w:val="single"/>
                <w:lang w:val="en-US" w:eastAsia="zh-CN"/>
              </w:rPr>
              <w:t>/</w:t>
            </w:r>
          </w:p>
        </w:tc>
      </w:tr>
      <w:tr w14:paraId="401E3D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942" w:type="pct"/>
            <w:tcBorders>
              <w:bottom w:val="single" w:color="auto" w:sz="2" w:space="0"/>
              <w:right w:val="single" w:color="auto" w:sz="2" w:space="0"/>
            </w:tcBorders>
            <w:vAlign w:val="center"/>
          </w:tcPr>
          <w:p w14:paraId="45D0C46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1A1F2BE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第1</w:t>
            </w:r>
            <w:r>
              <w:rPr>
                <w:rFonts w:hint="eastAsia" w:ascii="宋体" w:hAnsi="宋体" w:eastAsia="宋体" w:cs="Times New Roman"/>
                <w:snapToGrid/>
                <w:kern w:val="2"/>
                <w:sz w:val="21"/>
                <w:szCs w:val="21"/>
                <w:lang w:val="en-US" w:eastAsia="zh-CN"/>
              </w:rPr>
              <w:t>5</w:t>
            </w:r>
            <w:r>
              <w:rPr>
                <w:rFonts w:hint="eastAsia" w:ascii="宋体" w:hAnsi="宋体" w:eastAsia="宋体" w:cs="Times New Roman"/>
                <w:snapToGrid/>
                <w:kern w:val="2"/>
                <w:sz w:val="21"/>
                <w:szCs w:val="21"/>
                <w:lang w:eastAsia="zh-CN"/>
              </w:rPr>
              <w:t>.4</w:t>
            </w:r>
            <w:r>
              <w:rPr>
                <w:rFonts w:hint="eastAsia" w:ascii="宋体" w:hAnsi="宋体" w:eastAsia="宋体" w:cs="Times New Roman"/>
                <w:snapToGrid/>
                <w:kern w:val="2"/>
                <w:sz w:val="21"/>
                <w:szCs w:val="21"/>
                <w:lang w:val="en-US" w:eastAsia="zh-CN"/>
              </w:rPr>
              <w:t>款</w:t>
            </w:r>
          </w:p>
        </w:tc>
        <w:tc>
          <w:tcPr>
            <w:tcW w:w="1022" w:type="pct"/>
            <w:tcBorders>
              <w:left w:val="single" w:color="auto" w:sz="2" w:space="0"/>
              <w:bottom w:val="single" w:color="auto" w:sz="2" w:space="0"/>
              <w:right w:val="single" w:color="auto" w:sz="2" w:space="0"/>
            </w:tcBorders>
            <w:vAlign w:val="center"/>
          </w:tcPr>
          <w:p w14:paraId="3BD2223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其他违约责任</w:t>
            </w:r>
          </w:p>
        </w:tc>
        <w:tc>
          <w:tcPr>
            <w:tcW w:w="3034" w:type="pct"/>
            <w:tcBorders>
              <w:left w:val="single" w:color="auto" w:sz="2" w:space="0"/>
              <w:bottom w:val="single" w:color="auto" w:sz="2" w:space="0"/>
            </w:tcBorders>
            <w:vAlign w:val="center"/>
          </w:tcPr>
          <w:p w14:paraId="607A3D30">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Times New Roman" w:hAnsi="Times New Roman" w:eastAsia="宋体" w:cs="Times New Roman"/>
                <w:bCs/>
                <w:snapToGrid/>
                <w:color w:val="000000"/>
                <w:kern w:val="0"/>
                <w:sz w:val="21"/>
                <w:szCs w:val="21"/>
                <w:lang w:eastAsia="zh-CN"/>
              </w:rPr>
            </w:pPr>
            <w:r>
              <w:rPr>
                <w:rFonts w:hint="eastAsia" w:ascii="Times New Roman" w:hAnsi="Times New Roman" w:eastAsia="宋体" w:cs="Times New Roman"/>
                <w:bCs/>
                <w:snapToGrid/>
                <w:color w:val="000000"/>
                <w:kern w:val="0"/>
                <w:sz w:val="21"/>
                <w:szCs w:val="21"/>
                <w:lang w:eastAsia="zh-CN"/>
              </w:rPr>
              <w:t>（</w:t>
            </w:r>
            <w:r>
              <w:rPr>
                <w:rFonts w:hint="eastAsia" w:ascii="Times New Roman" w:hAnsi="Times New Roman" w:eastAsia="宋体" w:cs="Times New Roman"/>
                <w:bCs/>
                <w:snapToGrid/>
                <w:color w:val="000000"/>
                <w:kern w:val="0"/>
                <w:sz w:val="21"/>
                <w:szCs w:val="21"/>
                <w:lang w:val="en-US" w:eastAsia="zh-CN"/>
              </w:rPr>
              <w:t>1</w:t>
            </w:r>
            <w:r>
              <w:rPr>
                <w:rFonts w:hint="eastAsia" w:ascii="Times New Roman" w:hAnsi="Times New Roman" w:eastAsia="宋体" w:cs="Times New Roman"/>
                <w:bCs/>
                <w:snapToGrid/>
                <w:color w:val="000000"/>
                <w:kern w:val="0"/>
                <w:sz w:val="21"/>
                <w:szCs w:val="21"/>
                <w:lang w:eastAsia="zh-CN"/>
              </w:rPr>
              <w:t>）合同货物验收不合格的，甲方有权选择解除合同或换货。如甲方选择换货，乙方重新供货导致的交货延期的，按</w:t>
            </w:r>
            <w:r>
              <w:rPr>
                <w:rFonts w:hint="eastAsia" w:ascii="Times New Roman" w:hAnsi="Times New Roman" w:eastAsia="宋体" w:cs="Times New Roman"/>
                <w:bCs/>
                <w:snapToGrid/>
                <w:color w:val="000000"/>
                <w:kern w:val="0"/>
                <w:sz w:val="21"/>
                <w:szCs w:val="21"/>
                <w:lang w:val="en-US" w:eastAsia="zh-CN"/>
              </w:rPr>
              <w:t>延期交货</w:t>
            </w:r>
            <w:r>
              <w:rPr>
                <w:rFonts w:hint="eastAsia" w:ascii="Times New Roman" w:hAnsi="Times New Roman" w:eastAsia="宋体" w:cs="Times New Roman"/>
                <w:bCs/>
                <w:snapToGrid/>
                <w:color w:val="000000"/>
                <w:kern w:val="0"/>
                <w:sz w:val="21"/>
                <w:szCs w:val="21"/>
                <w:lang w:eastAsia="zh-CN"/>
              </w:rPr>
              <w:t>处理；若甲方选择单方解除合同的，乙方支付合同总价</w:t>
            </w:r>
            <w:r>
              <w:rPr>
                <w:rFonts w:hint="eastAsia" w:ascii="Times New Roman" w:hAnsi="Times New Roman" w:eastAsia="宋体" w:cs="Times New Roman"/>
                <w:bCs/>
                <w:snapToGrid/>
                <w:color w:val="000000"/>
                <w:kern w:val="0"/>
                <w:sz w:val="21"/>
                <w:szCs w:val="21"/>
                <w:u w:val="single"/>
                <w:lang w:val="en-US" w:eastAsia="zh-CN"/>
              </w:rPr>
              <w:t>10</w:t>
            </w:r>
            <w:r>
              <w:rPr>
                <w:rFonts w:hint="eastAsia" w:ascii="Times New Roman" w:hAnsi="Times New Roman" w:eastAsia="宋体" w:cs="Times New Roman"/>
                <w:bCs/>
                <w:snapToGrid/>
                <w:color w:val="000000"/>
                <w:kern w:val="0"/>
                <w:sz w:val="21"/>
                <w:szCs w:val="21"/>
                <w:u w:val="single"/>
                <w:lang w:eastAsia="zh-CN"/>
              </w:rPr>
              <w:t>%</w:t>
            </w:r>
            <w:r>
              <w:rPr>
                <w:rFonts w:hint="eastAsia" w:ascii="Times New Roman" w:hAnsi="Times New Roman" w:eastAsia="宋体" w:cs="Times New Roman"/>
                <w:bCs/>
                <w:snapToGrid/>
                <w:color w:val="000000"/>
                <w:kern w:val="0"/>
                <w:sz w:val="21"/>
                <w:szCs w:val="21"/>
                <w:lang w:eastAsia="zh-CN"/>
              </w:rPr>
              <w:t>的违约金。</w:t>
            </w:r>
          </w:p>
          <w:p w14:paraId="03D123AF">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Times New Roman" w:hAnsi="Times New Roman" w:eastAsia="宋体" w:cs="Times New Roman"/>
                <w:bCs/>
                <w:snapToGrid/>
                <w:color w:val="000000"/>
                <w:kern w:val="0"/>
                <w:sz w:val="21"/>
                <w:szCs w:val="21"/>
                <w:lang w:eastAsia="zh-CN"/>
              </w:rPr>
            </w:pPr>
            <w:r>
              <w:rPr>
                <w:rFonts w:hint="eastAsia" w:ascii="Times New Roman" w:hAnsi="Times New Roman" w:eastAsia="宋体" w:cs="Times New Roman"/>
                <w:bCs/>
                <w:snapToGrid/>
                <w:color w:val="000000"/>
                <w:kern w:val="0"/>
                <w:sz w:val="21"/>
                <w:szCs w:val="21"/>
                <w:lang w:eastAsia="zh-CN"/>
              </w:rPr>
              <w:t>（</w:t>
            </w:r>
            <w:r>
              <w:rPr>
                <w:rFonts w:hint="eastAsia" w:ascii="Times New Roman" w:hAnsi="Times New Roman" w:eastAsia="宋体" w:cs="Times New Roman"/>
                <w:bCs/>
                <w:snapToGrid/>
                <w:color w:val="000000"/>
                <w:kern w:val="0"/>
                <w:sz w:val="21"/>
                <w:szCs w:val="21"/>
                <w:lang w:val="en-US" w:eastAsia="zh-CN"/>
              </w:rPr>
              <w:t>2</w:t>
            </w:r>
            <w:r>
              <w:rPr>
                <w:rFonts w:hint="eastAsia" w:ascii="Times New Roman" w:hAnsi="Times New Roman" w:eastAsia="宋体" w:cs="Times New Roman"/>
                <w:bCs/>
                <w:snapToGrid/>
                <w:color w:val="000000"/>
                <w:kern w:val="0"/>
                <w:sz w:val="21"/>
                <w:szCs w:val="21"/>
                <w:lang w:eastAsia="zh-CN"/>
              </w:rPr>
              <w:t>）乙方提供的货物不符合规定，在合同货物最终验收合格前发现的，按</w:t>
            </w:r>
            <w:r>
              <w:rPr>
                <w:rFonts w:hint="eastAsia" w:ascii="Times New Roman" w:hAnsi="Times New Roman" w:eastAsia="宋体" w:cs="Times New Roman"/>
                <w:bCs/>
                <w:snapToGrid/>
                <w:color w:val="000000"/>
                <w:kern w:val="0"/>
                <w:sz w:val="21"/>
                <w:szCs w:val="21"/>
                <w:lang w:val="en-US" w:eastAsia="zh-CN"/>
              </w:rPr>
              <w:t>本条款（1）</w:t>
            </w:r>
            <w:r>
              <w:rPr>
                <w:rFonts w:hint="eastAsia" w:ascii="Times New Roman" w:hAnsi="Times New Roman" w:eastAsia="宋体" w:cs="Times New Roman"/>
                <w:bCs/>
                <w:snapToGrid/>
                <w:color w:val="000000"/>
                <w:kern w:val="0"/>
                <w:sz w:val="21"/>
                <w:szCs w:val="21"/>
                <w:lang w:eastAsia="zh-CN"/>
              </w:rPr>
              <w:t>处理；在合同货物最终验收合格后发现的，甲方有权退货，如甲方已支付货物价款，乙方应在甲方规定的时间内予以返还，此外，乙方应另外向甲方支付合同总价</w:t>
            </w:r>
            <w:r>
              <w:rPr>
                <w:rFonts w:hint="eastAsia" w:ascii="Times New Roman" w:hAnsi="Times New Roman" w:eastAsia="宋体" w:cs="Times New Roman"/>
                <w:bCs/>
                <w:snapToGrid/>
                <w:color w:val="000000"/>
                <w:kern w:val="0"/>
                <w:sz w:val="21"/>
                <w:szCs w:val="21"/>
                <w:u w:val="single"/>
                <w:lang w:val="en-US" w:eastAsia="zh-CN"/>
              </w:rPr>
              <w:t>10</w:t>
            </w:r>
            <w:r>
              <w:rPr>
                <w:rFonts w:hint="eastAsia" w:ascii="Times New Roman" w:hAnsi="Times New Roman" w:eastAsia="宋体" w:cs="Times New Roman"/>
                <w:bCs/>
                <w:snapToGrid/>
                <w:color w:val="000000"/>
                <w:kern w:val="0"/>
                <w:sz w:val="21"/>
                <w:szCs w:val="21"/>
                <w:u w:val="single"/>
                <w:lang w:eastAsia="zh-CN"/>
              </w:rPr>
              <w:t>%</w:t>
            </w:r>
            <w:r>
              <w:rPr>
                <w:rFonts w:hint="eastAsia" w:ascii="Times New Roman" w:hAnsi="Times New Roman" w:eastAsia="宋体" w:cs="Times New Roman"/>
                <w:bCs/>
                <w:snapToGrid/>
                <w:color w:val="000000"/>
                <w:kern w:val="0"/>
                <w:sz w:val="21"/>
                <w:szCs w:val="21"/>
                <w:lang w:eastAsia="zh-CN"/>
              </w:rPr>
              <w:t>的违约金（如验收合格后发现货物不合格，由甲方委托的第三方鉴定确认）。</w:t>
            </w:r>
          </w:p>
          <w:p w14:paraId="3806A462">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Times New Roman" w:hAnsi="Times New Roman" w:eastAsia="宋体" w:cs="Times New Roman"/>
                <w:bCs/>
                <w:snapToGrid/>
                <w:color w:val="000000"/>
                <w:kern w:val="0"/>
                <w:sz w:val="21"/>
                <w:szCs w:val="21"/>
                <w:lang w:eastAsia="zh-CN"/>
              </w:rPr>
            </w:pPr>
            <w:r>
              <w:rPr>
                <w:rFonts w:hint="eastAsia" w:ascii="Times New Roman" w:hAnsi="Times New Roman" w:eastAsia="宋体" w:cs="Times New Roman"/>
                <w:bCs/>
                <w:snapToGrid/>
                <w:color w:val="000000"/>
                <w:kern w:val="0"/>
                <w:sz w:val="21"/>
                <w:szCs w:val="21"/>
                <w:lang w:eastAsia="zh-CN"/>
              </w:rPr>
              <w:t>（</w:t>
            </w:r>
            <w:r>
              <w:rPr>
                <w:rFonts w:hint="eastAsia" w:ascii="Times New Roman" w:hAnsi="Times New Roman" w:eastAsia="宋体" w:cs="Times New Roman"/>
                <w:bCs/>
                <w:snapToGrid/>
                <w:color w:val="000000"/>
                <w:kern w:val="0"/>
                <w:sz w:val="21"/>
                <w:szCs w:val="21"/>
                <w:lang w:val="en-US" w:eastAsia="zh-CN"/>
              </w:rPr>
              <w:t>3</w:t>
            </w:r>
            <w:r>
              <w:rPr>
                <w:rFonts w:hint="eastAsia" w:ascii="Times New Roman" w:hAnsi="Times New Roman" w:eastAsia="宋体" w:cs="Times New Roman"/>
                <w:bCs/>
                <w:snapToGrid/>
                <w:color w:val="000000"/>
                <w:kern w:val="0"/>
                <w:sz w:val="21"/>
                <w:szCs w:val="21"/>
                <w:lang w:eastAsia="zh-CN"/>
              </w:rPr>
              <w:t>）乙方的投标（报价）资料有弄虚作假、隐瞒事实内容等情形，在合同货物最终验收合格前发现的，按</w:t>
            </w:r>
            <w:r>
              <w:rPr>
                <w:rFonts w:hint="eastAsia" w:ascii="Times New Roman" w:hAnsi="Times New Roman" w:eastAsia="宋体" w:cs="Times New Roman"/>
                <w:bCs/>
                <w:snapToGrid/>
                <w:color w:val="000000"/>
                <w:kern w:val="0"/>
                <w:sz w:val="21"/>
                <w:szCs w:val="21"/>
                <w:lang w:val="en-US" w:eastAsia="zh-CN"/>
              </w:rPr>
              <w:t>本条款（2）</w:t>
            </w:r>
            <w:r>
              <w:rPr>
                <w:rFonts w:hint="eastAsia" w:ascii="Times New Roman" w:hAnsi="Times New Roman" w:eastAsia="宋体" w:cs="Times New Roman"/>
                <w:bCs/>
                <w:snapToGrid/>
                <w:color w:val="000000"/>
                <w:kern w:val="0"/>
                <w:sz w:val="21"/>
                <w:szCs w:val="21"/>
                <w:lang w:eastAsia="zh-CN"/>
              </w:rPr>
              <w:t>处理；在合同货物最终验收合格后发现的，甲方有权退货，如甲方已支付货物价款，乙方应在甲方规定的时间内予以返还，此外，乙方应另外向甲方支付合同总价</w:t>
            </w:r>
            <w:r>
              <w:rPr>
                <w:rFonts w:hint="eastAsia" w:ascii="Times New Roman" w:hAnsi="Times New Roman" w:eastAsia="宋体" w:cs="Times New Roman"/>
                <w:bCs/>
                <w:snapToGrid/>
                <w:color w:val="000000"/>
                <w:kern w:val="0"/>
                <w:sz w:val="21"/>
                <w:szCs w:val="21"/>
                <w:u w:val="single"/>
                <w:lang w:val="en-US" w:eastAsia="zh-CN"/>
              </w:rPr>
              <w:t>10</w:t>
            </w:r>
            <w:r>
              <w:rPr>
                <w:rFonts w:hint="eastAsia" w:ascii="Times New Roman" w:hAnsi="Times New Roman" w:eastAsia="宋体" w:cs="Times New Roman"/>
                <w:bCs/>
                <w:snapToGrid/>
                <w:color w:val="000000"/>
                <w:kern w:val="0"/>
                <w:sz w:val="21"/>
                <w:szCs w:val="21"/>
                <w:u w:val="single"/>
                <w:lang w:eastAsia="zh-CN"/>
              </w:rPr>
              <w:t>%</w:t>
            </w:r>
            <w:r>
              <w:rPr>
                <w:rFonts w:hint="eastAsia" w:ascii="Times New Roman" w:hAnsi="Times New Roman" w:eastAsia="宋体" w:cs="Times New Roman"/>
                <w:bCs/>
                <w:snapToGrid/>
                <w:color w:val="000000"/>
                <w:kern w:val="0"/>
                <w:sz w:val="21"/>
                <w:szCs w:val="21"/>
                <w:lang w:eastAsia="zh-CN"/>
              </w:rPr>
              <w:t>的违约金。（如验收合格后发现货物不合格，由甲方委托的第三方鉴定确认）。</w:t>
            </w:r>
          </w:p>
          <w:p w14:paraId="0C0C99DD">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Times New Roman" w:hAnsi="Times New Roman" w:eastAsia="宋体" w:cs="Times New Roman"/>
                <w:bCs/>
                <w:snapToGrid/>
                <w:color w:val="000000"/>
                <w:kern w:val="0"/>
                <w:sz w:val="21"/>
                <w:szCs w:val="21"/>
                <w:lang w:eastAsia="zh-CN"/>
              </w:rPr>
            </w:pPr>
            <w:r>
              <w:rPr>
                <w:rFonts w:hint="eastAsia" w:ascii="Times New Roman" w:hAnsi="Times New Roman" w:eastAsia="宋体" w:cs="Times New Roman"/>
                <w:bCs/>
                <w:snapToGrid/>
                <w:color w:val="000000"/>
                <w:kern w:val="0"/>
                <w:sz w:val="21"/>
                <w:szCs w:val="21"/>
                <w:lang w:eastAsia="zh-CN"/>
              </w:rPr>
              <w:t>（</w:t>
            </w:r>
            <w:r>
              <w:rPr>
                <w:rFonts w:hint="eastAsia" w:ascii="Times New Roman" w:hAnsi="Times New Roman" w:eastAsia="宋体" w:cs="Times New Roman"/>
                <w:bCs/>
                <w:snapToGrid/>
                <w:color w:val="000000"/>
                <w:kern w:val="0"/>
                <w:sz w:val="21"/>
                <w:szCs w:val="21"/>
                <w:lang w:val="en-US" w:eastAsia="zh-CN"/>
              </w:rPr>
              <w:t>4</w:t>
            </w:r>
            <w:r>
              <w:rPr>
                <w:rFonts w:hint="eastAsia" w:ascii="Times New Roman" w:hAnsi="Times New Roman" w:eastAsia="宋体" w:cs="Times New Roman"/>
                <w:bCs/>
                <w:snapToGrid/>
                <w:color w:val="000000"/>
                <w:kern w:val="0"/>
                <w:sz w:val="21"/>
                <w:szCs w:val="21"/>
                <w:lang w:eastAsia="zh-CN"/>
              </w:rPr>
              <w:t>）因乙方原因导致退换货的，乙方应承担退换货所需的一切费用。如乙方未在规定的时间内收回不合格的货物，甲方不对上述货物的灭失或损坏承担任何责任。如乙方逾期超过</w:t>
            </w:r>
            <w:r>
              <w:rPr>
                <w:rFonts w:hint="eastAsia" w:ascii="Times New Roman" w:hAnsi="Times New Roman" w:eastAsia="宋体" w:cs="Times New Roman"/>
                <w:bCs/>
                <w:snapToGrid/>
                <w:color w:val="000000"/>
                <w:kern w:val="0"/>
                <w:sz w:val="21"/>
                <w:szCs w:val="21"/>
                <w:u w:val="single"/>
                <w:lang w:eastAsia="zh-CN"/>
              </w:rPr>
              <w:t>30</w:t>
            </w:r>
            <w:r>
              <w:rPr>
                <w:rFonts w:hint="eastAsia" w:ascii="Times New Roman" w:hAnsi="Times New Roman" w:eastAsia="宋体" w:cs="Times New Roman"/>
                <w:bCs/>
                <w:snapToGrid/>
                <w:color w:val="000000"/>
                <w:kern w:val="0"/>
                <w:sz w:val="21"/>
                <w:szCs w:val="21"/>
                <w:lang w:eastAsia="zh-CN"/>
              </w:rPr>
              <w:t>个日历日仍未收回的，甲方有权自行处理上述货物。</w:t>
            </w:r>
          </w:p>
          <w:p w14:paraId="0184B836">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Times New Roman" w:hAnsi="Times New Roman" w:eastAsia="宋体" w:cs="Times New Roman"/>
                <w:bCs/>
                <w:snapToGrid/>
                <w:color w:val="000000"/>
                <w:kern w:val="0"/>
                <w:sz w:val="21"/>
                <w:szCs w:val="21"/>
                <w:lang w:eastAsia="zh-CN"/>
              </w:rPr>
            </w:pPr>
            <w:r>
              <w:rPr>
                <w:rFonts w:hint="eastAsia" w:ascii="Times New Roman" w:hAnsi="Times New Roman" w:eastAsia="宋体" w:cs="Times New Roman"/>
                <w:bCs/>
                <w:snapToGrid/>
                <w:color w:val="000000"/>
                <w:kern w:val="0"/>
                <w:sz w:val="21"/>
                <w:szCs w:val="21"/>
                <w:lang w:eastAsia="zh-CN"/>
              </w:rPr>
              <w:t>（</w:t>
            </w:r>
            <w:r>
              <w:rPr>
                <w:rFonts w:hint="eastAsia" w:ascii="Times New Roman" w:hAnsi="Times New Roman" w:eastAsia="宋体" w:cs="Times New Roman"/>
                <w:bCs/>
                <w:snapToGrid/>
                <w:color w:val="000000"/>
                <w:kern w:val="0"/>
                <w:sz w:val="21"/>
                <w:szCs w:val="21"/>
                <w:lang w:val="en-US" w:eastAsia="zh-CN"/>
              </w:rPr>
              <w:t>5</w:t>
            </w:r>
            <w:r>
              <w:rPr>
                <w:rFonts w:hint="eastAsia" w:ascii="Times New Roman" w:hAnsi="Times New Roman" w:eastAsia="宋体" w:cs="Times New Roman"/>
                <w:bCs/>
                <w:snapToGrid/>
                <w:color w:val="000000"/>
                <w:kern w:val="0"/>
                <w:sz w:val="21"/>
                <w:szCs w:val="21"/>
                <w:lang w:eastAsia="zh-CN"/>
              </w:rPr>
              <w:t>）质保期内，若乙方实际的维修响应（到达现场）时间不满足本合同要求的，每次应支付</w:t>
            </w:r>
            <w:r>
              <w:rPr>
                <w:rFonts w:hint="eastAsia" w:ascii="Times New Roman" w:hAnsi="Times New Roman" w:eastAsia="宋体" w:cs="Times New Roman"/>
                <w:bCs/>
                <w:snapToGrid/>
                <w:color w:val="000000"/>
                <w:kern w:val="0"/>
                <w:sz w:val="21"/>
                <w:szCs w:val="21"/>
                <w:u w:val="single"/>
                <w:lang w:eastAsia="zh-CN"/>
              </w:rPr>
              <w:t>1</w:t>
            </w:r>
            <w:r>
              <w:rPr>
                <w:rFonts w:hint="eastAsia" w:ascii="宋体" w:hAnsi="宋体" w:eastAsia="微软雅黑" w:cs="宋体"/>
                <w:bCs/>
                <w:snapToGrid/>
                <w:color w:val="auto"/>
                <w:kern w:val="0"/>
                <w:sz w:val="21"/>
                <w:szCs w:val="21"/>
                <w:highlight w:val="none"/>
                <w:u w:val="single"/>
                <w:lang w:eastAsia="zh-CN"/>
              </w:rPr>
              <w:t>%</w:t>
            </w:r>
            <w:r>
              <w:rPr>
                <w:rFonts w:hint="eastAsia" w:ascii="Times New Roman" w:hAnsi="Times New Roman" w:eastAsia="宋体" w:cs="Times New Roman"/>
                <w:bCs/>
                <w:snapToGrid/>
                <w:color w:val="000000"/>
                <w:kern w:val="0"/>
                <w:sz w:val="21"/>
                <w:szCs w:val="21"/>
                <w:lang w:eastAsia="zh-CN"/>
              </w:rPr>
              <w:t>违约金，甲方有权另聘第三方对设备提供技术维修服务，由此产生的维修费用由乙方承担；乙方未按照本合同其他要求及投标（报价）文件售后服务承诺书的条款履行义务的，每次应支付</w:t>
            </w:r>
            <w:r>
              <w:rPr>
                <w:rFonts w:hint="eastAsia" w:ascii="Times New Roman" w:hAnsi="Times New Roman" w:eastAsia="宋体" w:cs="Times New Roman"/>
                <w:bCs/>
                <w:snapToGrid/>
                <w:color w:val="000000"/>
                <w:kern w:val="0"/>
                <w:sz w:val="21"/>
                <w:szCs w:val="21"/>
                <w:u w:val="single"/>
                <w:lang w:eastAsia="zh-CN"/>
              </w:rPr>
              <w:t>1%</w:t>
            </w:r>
            <w:r>
              <w:rPr>
                <w:rFonts w:hint="eastAsia" w:ascii="Times New Roman" w:hAnsi="Times New Roman" w:eastAsia="宋体" w:cs="Times New Roman"/>
                <w:bCs/>
                <w:snapToGrid/>
                <w:color w:val="000000"/>
                <w:kern w:val="0"/>
                <w:sz w:val="21"/>
                <w:szCs w:val="21"/>
                <w:lang w:eastAsia="zh-CN"/>
              </w:rPr>
              <w:t>违约金。</w:t>
            </w:r>
          </w:p>
          <w:p w14:paraId="76CC8ABE">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Times New Roman" w:hAnsi="Times New Roman" w:eastAsia="宋体" w:cs="Times New Roman"/>
                <w:bCs/>
                <w:snapToGrid/>
                <w:color w:val="000000"/>
                <w:kern w:val="0"/>
                <w:sz w:val="21"/>
                <w:szCs w:val="21"/>
                <w:lang w:eastAsia="zh-CN"/>
              </w:rPr>
            </w:pPr>
            <w:r>
              <w:rPr>
                <w:rFonts w:hint="eastAsia" w:ascii="Times New Roman" w:hAnsi="Times New Roman" w:eastAsia="宋体" w:cs="Times New Roman"/>
                <w:bCs/>
                <w:snapToGrid/>
                <w:color w:val="000000"/>
                <w:kern w:val="0"/>
                <w:sz w:val="21"/>
                <w:szCs w:val="21"/>
                <w:lang w:eastAsia="zh-CN"/>
              </w:rPr>
              <w:t>（</w:t>
            </w:r>
            <w:r>
              <w:rPr>
                <w:rFonts w:hint="eastAsia" w:ascii="Times New Roman" w:hAnsi="Times New Roman" w:eastAsia="宋体" w:cs="Times New Roman"/>
                <w:bCs/>
                <w:snapToGrid/>
                <w:color w:val="000000"/>
                <w:kern w:val="0"/>
                <w:sz w:val="21"/>
                <w:szCs w:val="21"/>
                <w:lang w:val="en-US" w:eastAsia="zh-CN"/>
              </w:rPr>
              <w:t>6</w:t>
            </w:r>
            <w:r>
              <w:rPr>
                <w:rFonts w:hint="eastAsia" w:ascii="Times New Roman" w:hAnsi="Times New Roman" w:eastAsia="宋体" w:cs="Times New Roman"/>
                <w:bCs/>
                <w:snapToGrid/>
                <w:color w:val="000000"/>
                <w:kern w:val="0"/>
                <w:sz w:val="21"/>
                <w:szCs w:val="21"/>
                <w:lang w:eastAsia="zh-CN"/>
              </w:rPr>
              <w:t>）除本合同另有约定外，在补救违约而采取的任何其他措施未能实现的情况下，即在甲方发出违约通知后</w:t>
            </w:r>
            <w:r>
              <w:rPr>
                <w:rFonts w:hint="eastAsia" w:ascii="Times New Roman" w:hAnsi="Times New Roman" w:eastAsia="宋体" w:cs="Times New Roman"/>
                <w:bCs/>
                <w:snapToGrid/>
                <w:color w:val="000000"/>
                <w:kern w:val="0"/>
                <w:sz w:val="21"/>
                <w:szCs w:val="21"/>
                <w:u w:val="single"/>
                <w:lang w:eastAsia="zh-CN"/>
              </w:rPr>
              <w:t>10</w:t>
            </w:r>
            <w:r>
              <w:rPr>
                <w:rFonts w:hint="eastAsia" w:ascii="Times New Roman" w:hAnsi="Times New Roman" w:eastAsia="宋体" w:cs="Times New Roman"/>
                <w:bCs/>
                <w:snapToGrid/>
                <w:color w:val="000000"/>
                <w:kern w:val="0"/>
                <w:sz w:val="21"/>
                <w:szCs w:val="21"/>
                <w:lang w:eastAsia="zh-CN"/>
              </w:rPr>
              <w:t>个日历日内乙方仍未纠正其任何一种违约行为，甲方有权单方解除本合同，乙方除应退还甲方已支付的款项外，还应向甲方支付合同总价</w:t>
            </w:r>
            <w:r>
              <w:rPr>
                <w:rFonts w:hint="eastAsia" w:ascii="Times New Roman" w:hAnsi="Times New Roman" w:eastAsia="宋体" w:cs="Times New Roman"/>
                <w:bCs/>
                <w:snapToGrid/>
                <w:color w:val="000000"/>
                <w:kern w:val="0"/>
                <w:sz w:val="21"/>
                <w:szCs w:val="21"/>
                <w:u w:val="single"/>
                <w:lang w:val="en-US" w:eastAsia="zh-CN"/>
              </w:rPr>
              <w:t>10</w:t>
            </w:r>
            <w:r>
              <w:rPr>
                <w:rFonts w:hint="eastAsia" w:ascii="Times New Roman" w:hAnsi="Times New Roman" w:eastAsia="宋体" w:cs="Times New Roman"/>
                <w:bCs/>
                <w:snapToGrid/>
                <w:color w:val="000000"/>
                <w:kern w:val="0"/>
                <w:sz w:val="21"/>
                <w:szCs w:val="21"/>
                <w:u w:val="single"/>
                <w:lang w:eastAsia="zh-CN"/>
              </w:rPr>
              <w:t>%</w:t>
            </w:r>
            <w:r>
              <w:rPr>
                <w:rFonts w:hint="eastAsia" w:ascii="Times New Roman" w:hAnsi="Times New Roman" w:eastAsia="宋体" w:cs="Times New Roman"/>
                <w:bCs/>
                <w:snapToGrid/>
                <w:color w:val="000000"/>
                <w:kern w:val="0"/>
                <w:sz w:val="21"/>
                <w:szCs w:val="21"/>
                <w:lang w:eastAsia="zh-CN"/>
              </w:rPr>
              <w:t>的违约金。</w:t>
            </w:r>
          </w:p>
          <w:p w14:paraId="7D1FD06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宋体" w:hAnsi="宋体" w:eastAsia="宋体" w:cs="Times New Roman"/>
                <w:snapToGrid/>
                <w:kern w:val="2"/>
                <w:sz w:val="21"/>
                <w:szCs w:val="21"/>
                <w:u w:val="single"/>
                <w:lang w:eastAsia="zh-CN"/>
              </w:rPr>
            </w:pPr>
            <w:r>
              <w:rPr>
                <w:rFonts w:hint="eastAsia" w:ascii="Times New Roman" w:hAnsi="Times New Roman" w:eastAsia="宋体" w:cs="Times New Roman"/>
                <w:bCs/>
                <w:snapToGrid/>
                <w:color w:val="000000"/>
                <w:kern w:val="0"/>
                <w:sz w:val="21"/>
                <w:szCs w:val="21"/>
                <w:lang w:eastAsia="zh-CN"/>
              </w:rPr>
              <w:t>（</w:t>
            </w:r>
            <w:r>
              <w:rPr>
                <w:rFonts w:hint="eastAsia" w:ascii="Times New Roman" w:hAnsi="Times New Roman" w:eastAsia="宋体" w:cs="Times New Roman"/>
                <w:bCs/>
                <w:snapToGrid/>
                <w:color w:val="000000"/>
                <w:kern w:val="0"/>
                <w:sz w:val="21"/>
                <w:szCs w:val="21"/>
                <w:lang w:val="en-US" w:eastAsia="zh-CN"/>
              </w:rPr>
              <w:t>7</w:t>
            </w:r>
            <w:r>
              <w:rPr>
                <w:rFonts w:hint="eastAsia" w:ascii="Times New Roman" w:hAnsi="Times New Roman" w:eastAsia="宋体" w:cs="Times New Roman"/>
                <w:bCs/>
                <w:snapToGrid/>
                <w:color w:val="000000"/>
                <w:kern w:val="0"/>
                <w:sz w:val="21"/>
                <w:szCs w:val="21"/>
                <w:lang w:eastAsia="zh-CN"/>
              </w:rPr>
              <w:t>）本合同约定的违约金无法弥补甲方损失的，乙方应继续承担相应的赔偿责任。甲方有权直接从未付的款项中扣除乙方根据本合同应付未付的违约金，赔偿金等。</w:t>
            </w:r>
          </w:p>
        </w:tc>
      </w:tr>
      <w:tr w14:paraId="701CA9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42" w:type="pct"/>
            <w:tcBorders>
              <w:top w:val="single" w:color="auto" w:sz="2" w:space="0"/>
              <w:right w:val="single" w:color="auto" w:sz="2" w:space="0"/>
            </w:tcBorders>
            <w:vAlign w:val="center"/>
          </w:tcPr>
          <w:p w14:paraId="57AC75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5B758B4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w:t>
            </w:r>
            <w:r>
              <w:rPr>
                <w:rFonts w:hint="eastAsia" w:ascii="宋体" w:hAnsi="宋体" w:eastAsia="宋体" w:cs="Times New Roman"/>
                <w:snapToGrid/>
                <w:kern w:val="2"/>
                <w:sz w:val="21"/>
                <w:szCs w:val="21"/>
                <w:lang w:val="en-US" w:eastAsia="zh-CN"/>
              </w:rPr>
              <w:t>19</w:t>
            </w:r>
            <w:r>
              <w:rPr>
                <w:rFonts w:hint="eastAsia" w:ascii="宋体" w:hAnsi="宋体" w:eastAsia="宋体" w:cs="Times New Roman"/>
                <w:snapToGrid/>
                <w:kern w:val="2"/>
                <w:sz w:val="21"/>
                <w:szCs w:val="21"/>
                <w:lang w:eastAsia="zh-CN"/>
              </w:rPr>
              <w:t>.2</w:t>
            </w:r>
            <w:r>
              <w:rPr>
                <w:rFonts w:hint="eastAsia" w:ascii="宋体" w:hAnsi="宋体" w:eastAsia="宋体" w:cs="Times New Roman"/>
                <w:snapToGrid/>
                <w:kern w:val="2"/>
                <w:sz w:val="21"/>
                <w:szCs w:val="21"/>
                <w:lang w:val="en-US" w:eastAsia="zh-CN"/>
              </w:rPr>
              <w:t>款</w:t>
            </w:r>
          </w:p>
        </w:tc>
        <w:tc>
          <w:tcPr>
            <w:tcW w:w="1022" w:type="pct"/>
            <w:tcBorders>
              <w:top w:val="single" w:color="auto" w:sz="2" w:space="0"/>
              <w:left w:val="single" w:color="auto" w:sz="2" w:space="0"/>
              <w:right w:val="single" w:color="auto" w:sz="2" w:space="0"/>
            </w:tcBorders>
            <w:vAlign w:val="center"/>
          </w:tcPr>
          <w:p w14:paraId="39D849A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val="en-US" w:eastAsia="zh-CN"/>
              </w:rPr>
              <w:t>解决争议的方法</w:t>
            </w:r>
          </w:p>
        </w:tc>
        <w:tc>
          <w:tcPr>
            <w:tcW w:w="3034" w:type="pct"/>
            <w:tcBorders>
              <w:top w:val="single" w:color="auto" w:sz="2" w:space="0"/>
              <w:left w:val="single" w:color="auto" w:sz="2" w:space="0"/>
            </w:tcBorders>
            <w:vAlign w:val="center"/>
          </w:tcPr>
          <w:p w14:paraId="17CDA51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val="0"/>
                <w:bCs w:val="0"/>
                <w:iCs/>
                <w:snapToGrid/>
                <w:kern w:val="2"/>
                <w:sz w:val="21"/>
                <w:szCs w:val="21"/>
                <w:lang w:eastAsia="zh-CN"/>
              </w:rPr>
            </w:pPr>
            <w:r>
              <w:rPr>
                <w:rFonts w:hint="eastAsia" w:ascii="宋体" w:hAnsi="宋体" w:eastAsia="宋体" w:cs="宋体"/>
                <w:b w:val="0"/>
                <w:bCs w:val="0"/>
                <w:iCs/>
                <w:snapToGrid/>
                <w:kern w:val="2"/>
                <w:sz w:val="21"/>
                <w:szCs w:val="21"/>
                <w:lang w:eastAsia="zh-CN"/>
              </w:rPr>
              <w:t>因本合同及合同有关事项发生的争议，按下列第</w:t>
            </w:r>
            <w:r>
              <w:rPr>
                <w:rFonts w:hint="eastAsia" w:ascii="宋体" w:hAnsi="宋体" w:eastAsia="宋体" w:cs="宋体"/>
                <w:b w:val="0"/>
                <w:bCs w:val="0"/>
                <w:iCs/>
                <w:snapToGrid/>
                <w:kern w:val="2"/>
                <w:sz w:val="21"/>
                <w:szCs w:val="21"/>
                <w:u w:val="single"/>
                <w:lang w:eastAsia="zh-CN"/>
              </w:rPr>
              <w:t>（</w:t>
            </w:r>
            <w:r>
              <w:rPr>
                <w:rFonts w:hint="eastAsia" w:ascii="宋体" w:hAnsi="宋体" w:eastAsia="宋体" w:cs="宋体"/>
                <w:b w:val="0"/>
                <w:bCs w:val="0"/>
                <w:iCs/>
                <w:snapToGrid/>
                <w:kern w:val="2"/>
                <w:sz w:val="21"/>
                <w:szCs w:val="21"/>
                <w:u w:val="single"/>
                <w:lang w:val="en-US" w:eastAsia="zh-CN"/>
              </w:rPr>
              <w:t>2</w:t>
            </w:r>
            <w:r>
              <w:rPr>
                <w:rFonts w:hint="eastAsia" w:ascii="宋体" w:hAnsi="宋体" w:eastAsia="宋体" w:cs="宋体"/>
                <w:b w:val="0"/>
                <w:bCs w:val="0"/>
                <w:iCs/>
                <w:snapToGrid/>
                <w:kern w:val="2"/>
                <w:sz w:val="21"/>
                <w:szCs w:val="21"/>
                <w:u w:val="single"/>
                <w:lang w:eastAsia="zh-CN"/>
              </w:rPr>
              <w:t>）</w:t>
            </w:r>
            <w:r>
              <w:rPr>
                <w:rFonts w:hint="eastAsia" w:ascii="宋体" w:hAnsi="宋体" w:eastAsia="宋体" w:cs="宋体"/>
                <w:b w:val="0"/>
                <w:bCs w:val="0"/>
                <w:iCs/>
                <w:snapToGrid/>
                <w:kern w:val="2"/>
                <w:sz w:val="21"/>
                <w:szCs w:val="21"/>
                <w:lang w:eastAsia="zh-CN"/>
              </w:rPr>
              <w:t>种方式解决：</w:t>
            </w:r>
          </w:p>
          <w:p w14:paraId="7E62AE9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val="0"/>
                <w:bCs w:val="0"/>
                <w:iCs/>
                <w:snapToGrid/>
                <w:kern w:val="2"/>
                <w:sz w:val="21"/>
                <w:szCs w:val="21"/>
                <w:lang w:eastAsia="zh-CN"/>
              </w:rPr>
            </w:pPr>
            <w:r>
              <w:rPr>
                <w:rFonts w:hint="eastAsia" w:ascii="宋体" w:hAnsi="宋体" w:eastAsia="宋体" w:cs="宋体"/>
                <w:b w:val="0"/>
                <w:bCs w:val="0"/>
                <w:iCs/>
                <w:snapToGrid/>
                <w:kern w:val="2"/>
                <w:sz w:val="21"/>
                <w:szCs w:val="21"/>
                <w:lang w:eastAsia="zh-CN"/>
              </w:rPr>
              <w:t>（1）向</w:t>
            </w:r>
            <w:r>
              <w:rPr>
                <w:rFonts w:hint="eastAsia" w:ascii="宋体" w:hAnsi="宋体" w:eastAsia="宋体" w:cs="宋体"/>
                <w:b w:val="0"/>
                <w:bCs w:val="0"/>
                <w:iCs/>
                <w:snapToGrid/>
                <w:kern w:val="2"/>
                <w:sz w:val="21"/>
                <w:szCs w:val="21"/>
                <w:u w:val="single"/>
                <w:lang w:val="en-US" w:eastAsia="zh-CN"/>
              </w:rPr>
              <w:t xml:space="preserve">      </w:t>
            </w:r>
            <w:r>
              <w:rPr>
                <w:rFonts w:hint="eastAsia" w:ascii="宋体" w:hAnsi="宋体" w:eastAsia="宋体" w:cs="宋体"/>
                <w:b w:val="0"/>
                <w:bCs w:val="0"/>
                <w:iCs/>
                <w:snapToGrid/>
                <w:kern w:val="2"/>
                <w:sz w:val="21"/>
                <w:szCs w:val="21"/>
                <w:lang w:eastAsia="zh-CN"/>
              </w:rPr>
              <w:t>仲裁委员会申请仲裁，仲裁地点为</w:t>
            </w:r>
            <w:r>
              <w:rPr>
                <w:rFonts w:hint="eastAsia" w:ascii="宋体" w:hAnsi="宋体" w:eastAsia="宋体" w:cs="宋体"/>
                <w:b w:val="0"/>
                <w:bCs w:val="0"/>
                <w:iCs/>
                <w:snapToGrid/>
                <w:kern w:val="2"/>
                <w:sz w:val="21"/>
                <w:szCs w:val="21"/>
                <w:u w:val="single"/>
                <w:lang w:eastAsia="zh-CN"/>
              </w:rPr>
              <w:t xml:space="preserve">           </w:t>
            </w:r>
            <w:r>
              <w:rPr>
                <w:rFonts w:hint="eastAsia" w:ascii="宋体" w:hAnsi="宋体" w:eastAsia="宋体" w:cs="宋体"/>
                <w:b w:val="0"/>
                <w:bCs w:val="0"/>
                <w:iCs/>
                <w:snapToGrid/>
                <w:kern w:val="2"/>
                <w:sz w:val="21"/>
                <w:szCs w:val="21"/>
                <w:lang w:eastAsia="zh-CN"/>
              </w:rPr>
              <w:t>；</w:t>
            </w:r>
          </w:p>
          <w:p w14:paraId="30B49F7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宋体" w:hAnsi="宋体" w:eastAsia="宋体" w:cs="Times New Roman"/>
                <w:snapToGrid/>
                <w:kern w:val="2"/>
                <w:sz w:val="21"/>
                <w:szCs w:val="21"/>
                <w:u w:val="single"/>
                <w:lang w:eastAsia="zh-CN"/>
              </w:rPr>
            </w:pPr>
            <w:r>
              <w:rPr>
                <w:rFonts w:hint="eastAsia" w:ascii="宋体" w:hAnsi="宋体" w:eastAsia="宋体" w:cs="宋体"/>
                <w:b w:val="0"/>
                <w:bCs w:val="0"/>
                <w:iCs/>
                <w:snapToGrid/>
                <w:kern w:val="2"/>
                <w:sz w:val="21"/>
                <w:szCs w:val="21"/>
                <w:lang w:eastAsia="zh-CN"/>
              </w:rPr>
              <w:t>（2）向</w:t>
            </w:r>
            <w:r>
              <w:rPr>
                <w:rFonts w:hint="eastAsia" w:ascii="宋体" w:hAnsi="宋体" w:eastAsia="宋体" w:cs="宋体"/>
                <w:b w:val="0"/>
                <w:bCs w:val="0"/>
                <w:iCs/>
                <w:snapToGrid/>
                <w:kern w:val="2"/>
                <w:sz w:val="21"/>
                <w:szCs w:val="21"/>
                <w:u w:val="single"/>
                <w:lang w:val="en-US" w:eastAsia="zh-CN"/>
              </w:rPr>
              <w:t>甲方住所所在地</w:t>
            </w:r>
            <w:r>
              <w:rPr>
                <w:rFonts w:hint="eastAsia" w:ascii="宋体" w:hAnsi="宋体" w:eastAsia="宋体" w:cs="宋体"/>
                <w:b w:val="0"/>
                <w:bCs w:val="0"/>
                <w:iCs/>
                <w:snapToGrid/>
                <w:kern w:val="2"/>
                <w:sz w:val="21"/>
                <w:szCs w:val="21"/>
                <w:lang w:eastAsia="zh-CN"/>
              </w:rPr>
              <w:t>人民法院起诉。</w:t>
            </w:r>
          </w:p>
        </w:tc>
      </w:tr>
      <w:tr w14:paraId="49C4D5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42" w:type="pct"/>
            <w:vAlign w:val="center"/>
          </w:tcPr>
          <w:p w14:paraId="072D620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第二节</w:t>
            </w:r>
          </w:p>
          <w:p w14:paraId="1D81417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eastAsia="宋体" w:cs="Times New Roman"/>
                <w:snapToGrid/>
                <w:kern w:val="2"/>
                <w:sz w:val="21"/>
                <w:szCs w:val="21"/>
                <w:lang w:eastAsia="zh-CN"/>
              </w:rPr>
            </w:pPr>
            <w:r>
              <w:rPr>
                <w:rFonts w:hint="eastAsia" w:ascii="宋体" w:hAnsi="宋体" w:eastAsia="宋体" w:cs="Times New Roman"/>
                <w:snapToGrid/>
                <w:kern w:val="2"/>
                <w:sz w:val="21"/>
                <w:szCs w:val="21"/>
                <w:lang w:eastAsia="zh-CN"/>
              </w:rPr>
              <w:t>第2</w:t>
            </w:r>
            <w:r>
              <w:rPr>
                <w:rFonts w:hint="eastAsia" w:ascii="宋体" w:hAnsi="宋体" w:eastAsia="宋体" w:cs="Times New Roman"/>
                <w:snapToGrid/>
                <w:kern w:val="2"/>
                <w:sz w:val="21"/>
                <w:szCs w:val="21"/>
                <w:lang w:val="en-US" w:eastAsia="zh-CN"/>
              </w:rPr>
              <w:t>3.1</w:t>
            </w:r>
            <w:r>
              <w:rPr>
                <w:rFonts w:hint="eastAsia" w:ascii="宋体" w:hAnsi="宋体" w:eastAsia="宋体" w:cs="Times New Roman"/>
                <w:snapToGrid/>
                <w:kern w:val="2"/>
                <w:sz w:val="21"/>
                <w:szCs w:val="21"/>
                <w:lang w:eastAsia="zh-CN"/>
              </w:rPr>
              <w:t>款</w:t>
            </w:r>
          </w:p>
        </w:tc>
        <w:tc>
          <w:tcPr>
            <w:tcW w:w="1022" w:type="pct"/>
            <w:vAlign w:val="center"/>
          </w:tcPr>
          <w:p w14:paraId="4BC036CF">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eastAsia="宋体" w:cs="Times New Roman"/>
                <w:snapToGrid/>
                <w:kern w:val="2"/>
                <w:sz w:val="21"/>
                <w:szCs w:val="21"/>
                <w:lang w:eastAsia="zh-CN"/>
              </w:rPr>
            </w:pPr>
            <w:r>
              <w:rPr>
                <w:rFonts w:hint="eastAsia" w:ascii="宋体" w:hAnsi="宋体" w:eastAsia="宋体" w:cs="Times New Roman"/>
                <w:bCs/>
                <w:snapToGrid/>
                <w:color w:val="auto"/>
                <w:kern w:val="2"/>
                <w:sz w:val="21"/>
                <w:szCs w:val="21"/>
                <w:highlight w:val="none"/>
                <w:lang w:eastAsia="zh-CN"/>
              </w:rPr>
              <w:t>其他专用条款</w:t>
            </w:r>
          </w:p>
        </w:tc>
        <w:tc>
          <w:tcPr>
            <w:tcW w:w="3034" w:type="pct"/>
            <w:vAlign w:val="center"/>
          </w:tcPr>
          <w:p w14:paraId="49F56CC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snapToGrid/>
                <w:kern w:val="2"/>
                <w:sz w:val="21"/>
                <w:szCs w:val="21"/>
                <w:lang w:val="en-US" w:eastAsia="zh-CN"/>
              </w:rPr>
            </w:pPr>
            <w:r>
              <w:rPr>
                <w:rFonts w:hint="eastAsia" w:ascii="宋体" w:hAnsi="宋体" w:eastAsia="宋体" w:cs="Times New Roman"/>
                <w:snapToGrid/>
                <w:kern w:val="2"/>
                <w:sz w:val="21"/>
                <w:szCs w:val="21"/>
                <w:lang w:val="en-US" w:eastAsia="zh-CN"/>
              </w:rPr>
              <w:t>/</w:t>
            </w:r>
          </w:p>
        </w:tc>
      </w:tr>
    </w:tbl>
    <w:p w14:paraId="5BA3E497">
      <w:pPr>
        <w:rPr>
          <w:b/>
          <w:bCs/>
          <w:spacing w:val="8"/>
          <w:sz w:val="35"/>
          <w:szCs w:val="35"/>
        </w:rPr>
      </w:pPr>
    </w:p>
    <w:p w14:paraId="25304F02">
      <w:pPr>
        <w:rPr>
          <w:b/>
          <w:bCs/>
          <w:spacing w:val="7"/>
          <w:sz w:val="30"/>
          <w:szCs w:val="30"/>
        </w:rPr>
      </w:pPr>
      <w:bookmarkStart w:id="144" w:name="_Toc26570"/>
      <w:bookmarkStart w:id="145" w:name="_Toc21078"/>
      <w:r>
        <w:rPr>
          <w:b/>
          <w:bCs/>
          <w:spacing w:val="7"/>
          <w:sz w:val="30"/>
          <w:szCs w:val="30"/>
        </w:rPr>
        <w:br w:type="page"/>
      </w:r>
    </w:p>
    <w:p w14:paraId="53D18B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b/>
          <w:bCs/>
          <w:spacing w:val="7"/>
          <w:sz w:val="30"/>
          <w:szCs w:val="30"/>
        </w:rPr>
      </w:pPr>
      <w:r>
        <w:rPr>
          <w:b/>
          <w:bCs/>
          <w:spacing w:val="7"/>
          <w:sz w:val="30"/>
          <w:szCs w:val="30"/>
        </w:rPr>
        <w:t>第七章</w:t>
      </w:r>
      <w:r>
        <w:rPr>
          <w:rFonts w:hint="eastAsia"/>
          <w:b/>
          <w:bCs/>
          <w:spacing w:val="7"/>
          <w:sz w:val="30"/>
          <w:szCs w:val="30"/>
          <w:lang w:val="en-US" w:eastAsia="zh-CN"/>
        </w:rPr>
        <w:t xml:space="preserve">  </w:t>
      </w:r>
      <w:r>
        <w:rPr>
          <w:b/>
          <w:bCs/>
          <w:spacing w:val="7"/>
          <w:sz w:val="30"/>
          <w:szCs w:val="30"/>
        </w:rPr>
        <w:t>投标文件格式</w:t>
      </w:r>
      <w:bookmarkEnd w:id="144"/>
      <w:bookmarkEnd w:id="145"/>
    </w:p>
    <w:p w14:paraId="774115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宋体" w:hAnsi="宋体" w:eastAsia="宋体" w:cs="宋体"/>
          <w:sz w:val="24"/>
          <w:szCs w:val="24"/>
        </w:rPr>
      </w:pPr>
      <w:r>
        <w:rPr>
          <w:rFonts w:hint="eastAsia" w:ascii="宋体" w:hAnsi="宋体" w:eastAsia="宋体" w:cs="宋体"/>
          <w:b/>
          <w:bCs/>
          <w:sz w:val="24"/>
          <w:szCs w:val="24"/>
        </w:rPr>
        <w:t>投标人编制文件须知</w:t>
      </w:r>
    </w:p>
    <w:p w14:paraId="5D526BF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1、投标人按照本部分的顺序编制投标文件（资格证明文件）、投标文件（商务技术文</w:t>
      </w:r>
      <w:r>
        <w:rPr>
          <w:rFonts w:hint="eastAsia" w:ascii="宋体" w:hAnsi="宋体" w:eastAsia="宋体" w:cs="宋体"/>
          <w:spacing w:val="-2"/>
          <w:sz w:val="24"/>
          <w:szCs w:val="24"/>
        </w:rPr>
        <w:t>件</w:t>
      </w:r>
      <w:r>
        <w:rPr>
          <w:rFonts w:hint="eastAsia" w:ascii="宋体" w:hAnsi="宋体" w:eastAsia="宋体" w:cs="宋体"/>
          <w:spacing w:val="-55"/>
          <w:w w:val="97"/>
          <w:sz w:val="24"/>
          <w:szCs w:val="24"/>
        </w:rPr>
        <w:t>），</w:t>
      </w:r>
      <w:r>
        <w:rPr>
          <w:rFonts w:hint="eastAsia" w:ascii="宋体" w:hAnsi="宋体" w:eastAsia="宋体" w:cs="宋体"/>
          <w:spacing w:val="-2"/>
          <w:sz w:val="24"/>
          <w:szCs w:val="24"/>
        </w:rPr>
        <w:t>编制中涉及格式资料的，应按照本部分提供的内容和格式（所有表格的格式可扩</w:t>
      </w:r>
      <w:r>
        <w:rPr>
          <w:rFonts w:hint="eastAsia" w:ascii="宋体" w:hAnsi="宋体" w:eastAsia="宋体" w:cs="宋体"/>
          <w:spacing w:val="-1"/>
          <w:sz w:val="24"/>
          <w:szCs w:val="24"/>
        </w:rPr>
        <w:t>展）填写提交。</w:t>
      </w:r>
    </w:p>
    <w:p w14:paraId="46F8E713">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2、对于招标文件中标记了“实质性格式”文件的，投标人不得改变格式中给定的文字所</w:t>
      </w:r>
      <w:r>
        <w:rPr>
          <w:rFonts w:hint="eastAsia" w:ascii="宋体" w:hAnsi="宋体" w:eastAsia="宋体" w:cs="宋体"/>
          <w:sz w:val="24"/>
          <w:szCs w:val="24"/>
        </w:rPr>
        <w:t>表达的含义，不得删减格式中的实质性内容，不得自行添加与格式中给定的文字内容</w:t>
      </w:r>
      <w:r>
        <w:rPr>
          <w:rFonts w:hint="eastAsia" w:ascii="宋体" w:hAnsi="宋体" w:eastAsia="宋体" w:cs="宋体"/>
          <w:spacing w:val="-2"/>
          <w:sz w:val="24"/>
          <w:szCs w:val="24"/>
        </w:rPr>
        <w:t>相矛盾的内容，不得对应当填写的空格不填写或不实质性响应，否则</w:t>
      </w:r>
      <w:r>
        <w:rPr>
          <w:rFonts w:hint="eastAsia" w:ascii="宋体" w:hAnsi="宋体" w:eastAsia="宋体" w:cs="宋体"/>
          <w:b/>
          <w:bCs/>
          <w:spacing w:val="-2"/>
          <w:sz w:val="24"/>
          <w:szCs w:val="24"/>
        </w:rPr>
        <w:t>投标无效</w:t>
      </w:r>
      <w:r>
        <w:rPr>
          <w:rFonts w:hint="eastAsia" w:ascii="宋体" w:hAnsi="宋体" w:eastAsia="宋体" w:cs="宋体"/>
          <w:spacing w:val="-2"/>
          <w:sz w:val="24"/>
          <w:szCs w:val="24"/>
        </w:rPr>
        <w:t>。未标</w:t>
      </w:r>
      <w:r>
        <w:rPr>
          <w:rFonts w:hint="eastAsia" w:ascii="宋体" w:hAnsi="宋体" w:eastAsia="宋体" w:cs="宋体"/>
          <w:spacing w:val="-1"/>
          <w:sz w:val="24"/>
          <w:szCs w:val="24"/>
        </w:rPr>
        <w:t>记“实质性格式”的文件和招标文件未提供格式的内容，可由投标人自行编写。</w:t>
      </w:r>
    </w:p>
    <w:p w14:paraId="5A9A198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3、全部声明和问题的回答及所附材料必须是真实的、准确的和完整</w:t>
      </w:r>
      <w:r>
        <w:rPr>
          <w:rFonts w:hint="eastAsia" w:ascii="宋体" w:hAnsi="宋体" w:eastAsia="宋体" w:cs="宋体"/>
          <w:spacing w:val="-1"/>
          <w:sz w:val="24"/>
          <w:szCs w:val="24"/>
        </w:rPr>
        <w:t>的。</w:t>
      </w:r>
    </w:p>
    <w:p w14:paraId="1535261F">
      <w:pPr>
        <w:spacing w:line="200" w:lineRule="auto"/>
        <w:rPr>
          <w:sz w:val="24"/>
          <w:szCs w:val="24"/>
        </w:rPr>
        <w:sectPr>
          <w:headerReference r:id="rId17" w:type="default"/>
          <w:footerReference r:id="rId18" w:type="default"/>
          <w:pgSz w:w="11905" w:h="16838"/>
          <w:pgMar w:top="1361" w:right="1417" w:bottom="1247" w:left="1417" w:header="839" w:footer="884" w:gutter="0"/>
          <w:pgNumType w:fmt="numberInDash"/>
          <w:cols w:space="0" w:num="1"/>
          <w:rtlGutter w:val="0"/>
          <w:docGrid w:linePitch="0" w:charSpace="0"/>
        </w:sectPr>
      </w:pPr>
    </w:p>
    <w:p w14:paraId="7955A1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spacing w:val="-1"/>
          <w:sz w:val="32"/>
          <w:szCs w:val="32"/>
        </w:rPr>
      </w:pPr>
      <w:bookmarkStart w:id="146" w:name="_Toc3157"/>
      <w:bookmarkStart w:id="147" w:name="_Toc32496"/>
      <w:r>
        <w:rPr>
          <w:rFonts w:hint="eastAsia" w:ascii="宋体" w:hAnsi="宋体" w:eastAsia="宋体" w:cs="宋体"/>
          <w:b/>
          <w:bCs/>
          <w:spacing w:val="-1"/>
          <w:sz w:val="32"/>
          <w:szCs w:val="32"/>
        </w:rPr>
        <w:t>一、资格证明文件格式</w:t>
      </w:r>
      <w:bookmarkEnd w:id="146"/>
      <w:bookmarkEnd w:id="147"/>
    </w:p>
    <w:p w14:paraId="43EFCC2D">
      <w:pPr>
        <w:pStyle w:val="2"/>
        <w:spacing w:before="336" w:line="196" w:lineRule="auto"/>
        <w:ind w:left="6"/>
        <w:rPr>
          <w:rFonts w:hint="eastAsia" w:ascii="宋体" w:hAnsi="宋体" w:eastAsia="宋体" w:cs="宋体"/>
          <w:sz w:val="24"/>
          <w:szCs w:val="24"/>
        </w:rPr>
      </w:pPr>
      <w:r>
        <w:rPr>
          <w:rFonts w:hint="eastAsia" w:ascii="宋体" w:hAnsi="宋体" w:eastAsia="宋体" w:cs="宋体"/>
          <w:b/>
          <w:bCs/>
          <w:spacing w:val="-6"/>
          <w:sz w:val="24"/>
          <w:szCs w:val="24"/>
        </w:rPr>
        <w:t>投</w:t>
      </w:r>
      <w:r>
        <w:rPr>
          <w:rFonts w:hint="eastAsia" w:ascii="宋体" w:hAnsi="宋体" w:eastAsia="宋体" w:cs="宋体"/>
          <w:b/>
          <w:bCs/>
          <w:spacing w:val="-11"/>
          <w:sz w:val="24"/>
          <w:szCs w:val="24"/>
        </w:rPr>
        <w:t xml:space="preserve"> </w:t>
      </w:r>
      <w:r>
        <w:rPr>
          <w:rFonts w:hint="eastAsia" w:ascii="宋体" w:hAnsi="宋体" w:eastAsia="宋体" w:cs="宋体"/>
          <w:b/>
          <w:bCs/>
          <w:spacing w:val="-6"/>
          <w:sz w:val="24"/>
          <w:szCs w:val="24"/>
        </w:rPr>
        <w:t>标</w:t>
      </w:r>
      <w:r>
        <w:rPr>
          <w:rFonts w:hint="eastAsia" w:ascii="宋体" w:hAnsi="宋体" w:eastAsia="宋体" w:cs="宋体"/>
          <w:b/>
          <w:bCs/>
          <w:spacing w:val="-23"/>
          <w:sz w:val="24"/>
          <w:szCs w:val="24"/>
        </w:rPr>
        <w:t xml:space="preserve"> </w:t>
      </w:r>
      <w:r>
        <w:rPr>
          <w:rFonts w:hint="eastAsia" w:ascii="宋体" w:hAnsi="宋体" w:eastAsia="宋体" w:cs="宋体"/>
          <w:b/>
          <w:bCs/>
          <w:spacing w:val="-6"/>
          <w:sz w:val="24"/>
          <w:szCs w:val="24"/>
        </w:rPr>
        <w:t>文</w:t>
      </w:r>
      <w:r>
        <w:rPr>
          <w:rFonts w:hint="eastAsia" w:ascii="宋体" w:hAnsi="宋体" w:eastAsia="宋体" w:cs="宋体"/>
          <w:b/>
          <w:bCs/>
          <w:spacing w:val="-26"/>
          <w:sz w:val="24"/>
          <w:szCs w:val="24"/>
        </w:rPr>
        <w:t xml:space="preserve"> </w:t>
      </w:r>
      <w:r>
        <w:rPr>
          <w:rFonts w:hint="eastAsia" w:ascii="宋体" w:hAnsi="宋体" w:eastAsia="宋体" w:cs="宋体"/>
          <w:b/>
          <w:bCs/>
          <w:spacing w:val="-6"/>
          <w:sz w:val="24"/>
          <w:szCs w:val="24"/>
        </w:rPr>
        <w:t>件（资</w:t>
      </w:r>
      <w:r>
        <w:rPr>
          <w:rFonts w:hint="eastAsia" w:ascii="宋体" w:hAnsi="宋体" w:eastAsia="宋体" w:cs="宋体"/>
          <w:b/>
          <w:bCs/>
          <w:spacing w:val="-26"/>
          <w:sz w:val="24"/>
          <w:szCs w:val="24"/>
        </w:rPr>
        <w:t xml:space="preserve"> </w:t>
      </w:r>
      <w:r>
        <w:rPr>
          <w:rFonts w:hint="eastAsia" w:ascii="宋体" w:hAnsi="宋体" w:eastAsia="宋体" w:cs="宋体"/>
          <w:b/>
          <w:bCs/>
          <w:spacing w:val="-6"/>
          <w:sz w:val="24"/>
          <w:szCs w:val="24"/>
        </w:rPr>
        <w:t>格</w:t>
      </w:r>
      <w:r>
        <w:rPr>
          <w:rFonts w:hint="eastAsia" w:ascii="宋体" w:hAnsi="宋体" w:eastAsia="宋体" w:cs="宋体"/>
          <w:b/>
          <w:bCs/>
          <w:spacing w:val="-28"/>
          <w:sz w:val="24"/>
          <w:szCs w:val="24"/>
        </w:rPr>
        <w:t xml:space="preserve"> </w:t>
      </w:r>
      <w:r>
        <w:rPr>
          <w:rFonts w:hint="eastAsia" w:ascii="宋体" w:hAnsi="宋体" w:eastAsia="宋体" w:cs="宋体"/>
          <w:b/>
          <w:bCs/>
          <w:spacing w:val="-6"/>
          <w:sz w:val="24"/>
          <w:szCs w:val="24"/>
        </w:rPr>
        <w:t>证 明</w:t>
      </w:r>
      <w:r>
        <w:rPr>
          <w:rFonts w:hint="eastAsia" w:ascii="宋体" w:hAnsi="宋体" w:eastAsia="宋体" w:cs="宋体"/>
          <w:b/>
          <w:bCs/>
          <w:spacing w:val="-21"/>
          <w:sz w:val="24"/>
          <w:szCs w:val="24"/>
        </w:rPr>
        <w:t xml:space="preserve"> </w:t>
      </w:r>
      <w:r>
        <w:rPr>
          <w:rFonts w:hint="eastAsia" w:ascii="宋体" w:hAnsi="宋体" w:eastAsia="宋体" w:cs="宋体"/>
          <w:b/>
          <w:bCs/>
          <w:spacing w:val="-6"/>
          <w:sz w:val="24"/>
          <w:szCs w:val="24"/>
        </w:rPr>
        <w:t>文</w:t>
      </w:r>
      <w:r>
        <w:rPr>
          <w:rFonts w:hint="eastAsia" w:ascii="宋体" w:hAnsi="宋体" w:eastAsia="宋体" w:cs="宋体"/>
          <w:b/>
          <w:bCs/>
          <w:spacing w:val="-25"/>
          <w:sz w:val="24"/>
          <w:szCs w:val="24"/>
        </w:rPr>
        <w:t xml:space="preserve"> </w:t>
      </w:r>
      <w:r>
        <w:rPr>
          <w:rFonts w:hint="eastAsia" w:ascii="宋体" w:hAnsi="宋体" w:eastAsia="宋体" w:cs="宋体"/>
          <w:b/>
          <w:bCs/>
          <w:spacing w:val="-6"/>
          <w:sz w:val="24"/>
          <w:szCs w:val="24"/>
        </w:rPr>
        <w:t>件）封面（非实质性格式）</w:t>
      </w:r>
    </w:p>
    <w:p w14:paraId="6FB6484A">
      <w:pPr>
        <w:pStyle w:val="2"/>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14:paraId="6E8AC8F8">
      <w:pPr>
        <w:pStyle w:val="2"/>
        <w:spacing w:before="1" w:line="196" w:lineRule="auto"/>
        <w:ind w:left="1946"/>
        <w:rPr>
          <w:rFonts w:hint="eastAsia" w:ascii="宋体" w:hAnsi="宋体" w:eastAsia="宋体" w:cs="宋体"/>
          <w:sz w:val="52"/>
          <w:szCs w:val="52"/>
        </w:rPr>
      </w:pPr>
      <w:r>
        <w:rPr>
          <w:rFonts w:hint="eastAsia" w:ascii="宋体" w:hAnsi="宋体" w:eastAsia="宋体" w:cs="宋体"/>
          <w:b/>
          <w:bCs/>
          <w:spacing w:val="62"/>
          <w:sz w:val="52"/>
          <w:szCs w:val="52"/>
        </w:rPr>
        <w:t>（资格证明文件）</w:t>
      </w:r>
    </w:p>
    <w:p w14:paraId="3A163AA2">
      <w:pPr>
        <w:spacing w:line="300" w:lineRule="auto"/>
        <w:rPr>
          <w:rFonts w:hint="eastAsia" w:ascii="宋体" w:hAnsi="宋体" w:eastAsia="宋体" w:cs="宋体"/>
          <w:sz w:val="21"/>
        </w:rPr>
      </w:pPr>
    </w:p>
    <w:p w14:paraId="18E91FFB">
      <w:pPr>
        <w:spacing w:line="301" w:lineRule="auto"/>
        <w:rPr>
          <w:rFonts w:hint="eastAsia" w:ascii="宋体" w:hAnsi="宋体" w:eastAsia="宋体" w:cs="宋体"/>
          <w:sz w:val="21"/>
        </w:rPr>
      </w:pPr>
    </w:p>
    <w:p w14:paraId="2B2FF09C">
      <w:pPr>
        <w:pStyle w:val="2"/>
        <w:spacing w:before="134" w:line="205" w:lineRule="auto"/>
        <w:ind w:left="546"/>
        <w:rPr>
          <w:rFonts w:hint="eastAsia" w:ascii="宋体" w:hAnsi="宋体" w:eastAsia="宋体" w:cs="宋体"/>
          <w:b/>
          <w:bCs/>
          <w:spacing w:val="-11"/>
        </w:rPr>
      </w:pPr>
    </w:p>
    <w:p w14:paraId="54524737">
      <w:pPr>
        <w:pStyle w:val="2"/>
        <w:spacing w:before="134" w:line="205" w:lineRule="auto"/>
        <w:ind w:left="546"/>
        <w:rPr>
          <w:rFonts w:hint="eastAsia" w:ascii="宋体" w:hAnsi="宋体" w:eastAsia="宋体" w:cs="宋体"/>
        </w:rPr>
      </w:pPr>
      <w:r>
        <w:rPr>
          <w:rFonts w:hint="eastAsia" w:ascii="宋体" w:hAnsi="宋体" w:eastAsia="宋体" w:cs="宋体"/>
          <w:b/>
          <w:bCs/>
          <w:spacing w:val="-11"/>
        </w:rPr>
        <w:t>项目名称:</w:t>
      </w:r>
    </w:p>
    <w:p w14:paraId="7390E426">
      <w:pPr>
        <w:pStyle w:val="2"/>
        <w:spacing w:before="11" w:line="205" w:lineRule="auto"/>
        <w:ind w:left="546"/>
        <w:rPr>
          <w:rFonts w:hint="eastAsia" w:ascii="宋体" w:hAnsi="宋体" w:eastAsia="宋体" w:cs="宋体"/>
        </w:rPr>
      </w:pPr>
      <w:r>
        <w:rPr>
          <w:rFonts w:hint="eastAsia" w:ascii="宋体" w:hAnsi="宋体" w:eastAsia="宋体" w:cs="宋体"/>
          <w:b/>
          <w:bCs/>
          <w:spacing w:val="1"/>
        </w:rPr>
        <w:t>项目编号/包号：</w:t>
      </w:r>
    </w:p>
    <w:p w14:paraId="2921EA26">
      <w:pPr>
        <w:spacing w:line="257" w:lineRule="auto"/>
        <w:rPr>
          <w:rFonts w:hint="eastAsia" w:ascii="宋体" w:hAnsi="宋体" w:eastAsia="宋体" w:cs="宋体"/>
          <w:sz w:val="21"/>
        </w:rPr>
      </w:pPr>
    </w:p>
    <w:p w14:paraId="027305C4">
      <w:pPr>
        <w:spacing w:line="258" w:lineRule="auto"/>
        <w:rPr>
          <w:rFonts w:hint="eastAsia" w:ascii="宋体" w:hAnsi="宋体" w:eastAsia="宋体" w:cs="宋体"/>
          <w:sz w:val="21"/>
        </w:rPr>
      </w:pPr>
    </w:p>
    <w:p w14:paraId="5C93DD69">
      <w:pPr>
        <w:spacing w:line="258" w:lineRule="auto"/>
        <w:rPr>
          <w:rFonts w:hint="eastAsia" w:ascii="宋体" w:hAnsi="宋体" w:eastAsia="宋体" w:cs="宋体"/>
          <w:sz w:val="21"/>
        </w:rPr>
      </w:pPr>
    </w:p>
    <w:p w14:paraId="4F666BDF">
      <w:pPr>
        <w:spacing w:line="258" w:lineRule="auto"/>
        <w:rPr>
          <w:rFonts w:hint="eastAsia" w:ascii="宋体" w:hAnsi="宋体" w:eastAsia="宋体" w:cs="宋体"/>
          <w:sz w:val="21"/>
        </w:rPr>
      </w:pPr>
    </w:p>
    <w:p w14:paraId="789DDB76">
      <w:pPr>
        <w:spacing w:line="258" w:lineRule="auto"/>
        <w:rPr>
          <w:rFonts w:hint="eastAsia" w:ascii="宋体" w:hAnsi="宋体" w:eastAsia="宋体" w:cs="宋体"/>
          <w:sz w:val="21"/>
        </w:rPr>
      </w:pPr>
    </w:p>
    <w:p w14:paraId="364CA8ED">
      <w:pPr>
        <w:spacing w:line="258" w:lineRule="auto"/>
        <w:rPr>
          <w:rFonts w:hint="eastAsia" w:ascii="宋体" w:hAnsi="宋体" w:eastAsia="宋体" w:cs="宋体"/>
          <w:sz w:val="21"/>
        </w:rPr>
      </w:pPr>
    </w:p>
    <w:p w14:paraId="529625F4">
      <w:pPr>
        <w:spacing w:line="258" w:lineRule="auto"/>
        <w:rPr>
          <w:rFonts w:hint="eastAsia" w:ascii="宋体" w:hAnsi="宋体" w:eastAsia="宋体" w:cs="宋体"/>
          <w:sz w:val="21"/>
        </w:rPr>
      </w:pPr>
    </w:p>
    <w:p w14:paraId="755FC7F3">
      <w:pPr>
        <w:spacing w:line="258" w:lineRule="auto"/>
        <w:rPr>
          <w:rFonts w:hint="eastAsia" w:ascii="宋体" w:hAnsi="宋体" w:eastAsia="宋体" w:cs="宋体"/>
          <w:sz w:val="21"/>
        </w:rPr>
      </w:pPr>
    </w:p>
    <w:p w14:paraId="3013A93D">
      <w:pPr>
        <w:spacing w:line="258" w:lineRule="auto"/>
        <w:rPr>
          <w:rFonts w:hint="eastAsia" w:ascii="宋体" w:hAnsi="宋体" w:eastAsia="宋体" w:cs="宋体"/>
          <w:sz w:val="21"/>
        </w:rPr>
      </w:pPr>
    </w:p>
    <w:p w14:paraId="178AF405">
      <w:pPr>
        <w:spacing w:line="258" w:lineRule="auto"/>
        <w:rPr>
          <w:rFonts w:hint="eastAsia" w:ascii="宋体" w:hAnsi="宋体" w:eastAsia="宋体" w:cs="宋体"/>
          <w:sz w:val="21"/>
        </w:rPr>
      </w:pPr>
    </w:p>
    <w:p w14:paraId="4C776395">
      <w:pPr>
        <w:spacing w:line="258" w:lineRule="auto"/>
        <w:rPr>
          <w:rFonts w:hint="eastAsia" w:ascii="宋体" w:hAnsi="宋体" w:eastAsia="宋体" w:cs="宋体"/>
          <w:sz w:val="21"/>
        </w:rPr>
      </w:pPr>
    </w:p>
    <w:p w14:paraId="36CE90F1">
      <w:pPr>
        <w:pStyle w:val="2"/>
        <w:spacing w:before="134" w:line="205" w:lineRule="auto"/>
        <w:ind w:left="1447"/>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14:paraId="07EE4912">
      <w:pPr>
        <w:spacing w:line="205" w:lineRule="auto"/>
        <w:sectPr>
          <w:footerReference r:id="rId19" w:type="default"/>
          <w:pgSz w:w="11905" w:h="16838"/>
          <w:pgMar w:top="1361" w:right="1417" w:bottom="1247" w:left="1417" w:header="839" w:footer="884" w:gutter="0"/>
          <w:pgNumType w:fmt="numberInDash"/>
          <w:cols w:space="0" w:num="1"/>
          <w:rtlGutter w:val="0"/>
          <w:docGrid w:linePitch="0" w:charSpace="0"/>
        </w:sectPr>
      </w:pPr>
    </w:p>
    <w:p w14:paraId="727BBEFF">
      <w:pPr>
        <w:pStyle w:val="2"/>
        <w:keepNext w:val="0"/>
        <w:keepLines w:val="0"/>
        <w:pageBreakBefore w:val="0"/>
        <w:widowControl/>
        <w:kinsoku w:val="0"/>
        <w:wordWrap/>
        <w:overflowPunct/>
        <w:topLinePunct w:val="0"/>
        <w:autoSpaceDE w:val="0"/>
        <w:autoSpaceDN w:val="0"/>
        <w:bidi w:val="0"/>
        <w:adjustRightInd w:val="0"/>
        <w:snapToGrid w:val="0"/>
        <w:spacing w:before="273" w:line="202" w:lineRule="auto"/>
        <w:ind w:left="28"/>
        <w:textAlignment w:val="baseline"/>
        <w:outlineLvl w:val="2"/>
        <w:rPr>
          <w:rFonts w:hint="eastAsia" w:ascii="宋体" w:hAnsi="宋体" w:eastAsia="宋体" w:cs="宋体"/>
          <w:sz w:val="24"/>
          <w:szCs w:val="24"/>
        </w:rPr>
      </w:pPr>
      <w:bookmarkStart w:id="148" w:name="_Toc15637"/>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满足《中华人民共和国政府采购法》第二十二条规定</w:t>
      </w:r>
      <w:bookmarkEnd w:id="148"/>
    </w:p>
    <w:p w14:paraId="23D74DD5">
      <w:pPr>
        <w:pStyle w:val="2"/>
        <w:keepNext w:val="0"/>
        <w:keepLines w:val="0"/>
        <w:pageBreakBefore w:val="0"/>
        <w:widowControl/>
        <w:kinsoku w:val="0"/>
        <w:wordWrap/>
        <w:overflowPunct/>
        <w:topLinePunct w:val="0"/>
        <w:autoSpaceDE w:val="0"/>
        <w:autoSpaceDN w:val="0"/>
        <w:bidi w:val="0"/>
        <w:adjustRightInd w:val="0"/>
        <w:snapToGrid w:val="0"/>
        <w:spacing w:before="176" w:line="202" w:lineRule="auto"/>
        <w:ind w:left="28"/>
        <w:textAlignment w:val="baseline"/>
        <w:outlineLvl w:val="3"/>
        <w:rPr>
          <w:rFonts w:hint="eastAsia" w:ascii="宋体" w:hAnsi="宋体" w:eastAsia="宋体" w:cs="宋体"/>
          <w:sz w:val="24"/>
          <w:szCs w:val="24"/>
        </w:rPr>
      </w:pPr>
      <w:bookmarkStart w:id="149" w:name="_Toc355"/>
      <w:r>
        <w:rPr>
          <w:rFonts w:hint="eastAsia" w:ascii="宋体" w:hAnsi="宋体" w:eastAsia="宋体" w:cs="宋体"/>
          <w:sz w:val="24"/>
          <w:szCs w:val="24"/>
        </w:rPr>
        <w:t>1-1营业执照等证明文件</w:t>
      </w:r>
      <w:bookmarkEnd w:id="149"/>
    </w:p>
    <w:p w14:paraId="39F4AB0E">
      <w:pPr>
        <w:spacing w:line="201" w:lineRule="auto"/>
        <w:rPr>
          <w:rFonts w:hint="eastAsia" w:ascii="宋体" w:hAnsi="宋体" w:eastAsia="宋体" w:cs="宋体"/>
          <w:sz w:val="24"/>
          <w:szCs w:val="24"/>
        </w:rPr>
        <w:sectPr>
          <w:footerReference r:id="rId20" w:type="default"/>
          <w:pgSz w:w="11905" w:h="16838"/>
          <w:pgMar w:top="1361" w:right="1417" w:bottom="1247" w:left="1417" w:header="839" w:footer="884" w:gutter="0"/>
          <w:pgNumType w:fmt="numberInDash"/>
          <w:cols w:space="0" w:num="1"/>
          <w:rtlGutter w:val="0"/>
          <w:docGrid w:linePitch="0" w:charSpace="0"/>
        </w:sectPr>
      </w:pPr>
    </w:p>
    <w:p w14:paraId="15018D03">
      <w:pPr>
        <w:pStyle w:val="2"/>
        <w:keepNext w:val="0"/>
        <w:keepLines w:val="0"/>
        <w:pageBreakBefore w:val="0"/>
        <w:widowControl/>
        <w:kinsoku w:val="0"/>
        <w:wordWrap/>
        <w:overflowPunct/>
        <w:topLinePunct w:val="0"/>
        <w:autoSpaceDE w:val="0"/>
        <w:autoSpaceDN w:val="0"/>
        <w:bidi w:val="0"/>
        <w:adjustRightInd w:val="0"/>
        <w:snapToGrid w:val="0"/>
        <w:spacing w:before="176" w:line="202" w:lineRule="auto"/>
        <w:ind w:left="28"/>
        <w:textAlignment w:val="baseline"/>
        <w:outlineLvl w:val="3"/>
        <w:rPr>
          <w:rFonts w:hint="eastAsia" w:ascii="宋体" w:hAnsi="宋体" w:eastAsia="宋体" w:cs="宋体"/>
          <w:sz w:val="24"/>
          <w:szCs w:val="24"/>
        </w:rPr>
      </w:pPr>
      <w:bookmarkStart w:id="150" w:name="_Toc23486"/>
      <w:r>
        <w:rPr>
          <w:rFonts w:hint="eastAsia" w:ascii="宋体" w:hAnsi="宋体" w:eastAsia="宋体" w:cs="宋体"/>
          <w:sz w:val="24"/>
          <w:szCs w:val="24"/>
        </w:rPr>
        <w:t>1-2投标人资格声明书</w:t>
      </w:r>
      <w:bookmarkEnd w:id="150"/>
    </w:p>
    <w:p w14:paraId="0857A944">
      <w:pPr>
        <w:pStyle w:val="2"/>
        <w:spacing w:before="141" w:line="204" w:lineRule="auto"/>
        <w:ind w:left="3100"/>
        <w:rPr>
          <w:rFonts w:hint="eastAsia" w:ascii="宋体" w:hAnsi="宋体" w:eastAsia="宋体" w:cs="宋体"/>
          <w:sz w:val="24"/>
          <w:szCs w:val="24"/>
        </w:rPr>
      </w:pPr>
      <w:r>
        <w:rPr>
          <w:rFonts w:hint="eastAsia" w:ascii="宋体" w:hAnsi="宋体" w:eastAsia="宋体" w:cs="宋体"/>
          <w:b/>
          <w:bCs/>
          <w:spacing w:val="10"/>
          <w:sz w:val="24"/>
          <w:szCs w:val="24"/>
        </w:rPr>
        <w:t>投标人资格声明书</w:t>
      </w:r>
    </w:p>
    <w:p w14:paraId="0E09853F">
      <w:pPr>
        <w:spacing w:line="306" w:lineRule="auto"/>
        <w:rPr>
          <w:rFonts w:hint="eastAsia" w:ascii="宋体" w:hAnsi="宋体" w:eastAsia="宋体" w:cs="宋体"/>
          <w:sz w:val="24"/>
          <w:szCs w:val="24"/>
        </w:rPr>
      </w:pPr>
    </w:p>
    <w:p w14:paraId="121FA33D">
      <w:pPr>
        <w:pStyle w:val="2"/>
        <w:spacing w:before="103" w:line="201" w:lineRule="auto"/>
        <w:ind w:left="4"/>
        <w:rPr>
          <w:rFonts w:hint="eastAsia" w:ascii="宋体" w:hAnsi="宋体" w:eastAsia="宋体" w:cs="宋体"/>
          <w:sz w:val="24"/>
          <w:szCs w:val="24"/>
        </w:rPr>
      </w:pPr>
      <w:r>
        <w:rPr>
          <w:rFonts w:hint="eastAsia" w:ascii="宋体" w:hAnsi="宋体" w:eastAsia="宋体" w:cs="宋体"/>
          <w:spacing w:val="-1"/>
          <w:sz w:val="24"/>
          <w:szCs w:val="24"/>
        </w:rPr>
        <w:t>致：</w:t>
      </w:r>
      <w:r>
        <w:rPr>
          <w:rFonts w:hint="eastAsia" w:ascii="宋体" w:hAnsi="宋体" w:eastAsia="宋体" w:cs="宋体"/>
          <w:spacing w:val="-1"/>
          <w:sz w:val="24"/>
          <w:szCs w:val="24"/>
          <w:u w:val="single" w:color="auto"/>
        </w:rPr>
        <w:t>采购人或采购代理机构</w:t>
      </w:r>
    </w:p>
    <w:p w14:paraId="3D77A4B4">
      <w:pPr>
        <w:pStyle w:val="2"/>
        <w:spacing w:before="176" w:line="200" w:lineRule="auto"/>
        <w:ind w:left="487"/>
        <w:rPr>
          <w:rFonts w:hint="eastAsia" w:ascii="宋体" w:hAnsi="宋体" w:eastAsia="宋体" w:cs="宋体"/>
          <w:sz w:val="24"/>
          <w:szCs w:val="24"/>
        </w:rPr>
      </w:pPr>
      <w:r>
        <w:rPr>
          <w:rFonts w:hint="eastAsia" w:ascii="宋体" w:hAnsi="宋体" w:eastAsia="宋体" w:cs="宋体"/>
          <w:spacing w:val="-3"/>
          <w:sz w:val="24"/>
          <w:szCs w:val="24"/>
        </w:rPr>
        <w:t>在参与本次项目投标中，我单位承诺：</w:t>
      </w:r>
    </w:p>
    <w:p w14:paraId="6C7CE2DF">
      <w:pPr>
        <w:pStyle w:val="2"/>
        <w:spacing w:before="180" w:line="196" w:lineRule="auto"/>
        <w:ind w:left="408"/>
        <w:rPr>
          <w:rFonts w:hint="eastAsia" w:ascii="宋体" w:hAnsi="宋体" w:eastAsia="宋体" w:cs="宋体"/>
          <w:sz w:val="24"/>
          <w:szCs w:val="24"/>
        </w:rPr>
      </w:pPr>
      <w:r>
        <w:rPr>
          <w:rFonts w:hint="eastAsia" w:ascii="宋体" w:hAnsi="宋体" w:eastAsia="宋体" w:cs="宋体"/>
          <w:sz w:val="24"/>
          <w:szCs w:val="24"/>
        </w:rPr>
        <w:t>（一）具有良好的商业信誉和健全的财务会计制度；</w:t>
      </w:r>
    </w:p>
    <w:p w14:paraId="1EE48BE5">
      <w:pPr>
        <w:pStyle w:val="2"/>
        <w:spacing w:before="184" w:line="196" w:lineRule="auto"/>
        <w:ind w:left="408"/>
        <w:rPr>
          <w:rFonts w:hint="eastAsia" w:ascii="宋体" w:hAnsi="宋体" w:eastAsia="宋体" w:cs="宋体"/>
          <w:sz w:val="24"/>
          <w:szCs w:val="24"/>
        </w:rPr>
      </w:pPr>
      <w:r>
        <w:rPr>
          <w:rFonts w:hint="eastAsia" w:ascii="宋体" w:hAnsi="宋体" w:eastAsia="宋体" w:cs="宋体"/>
          <w:sz w:val="24"/>
          <w:szCs w:val="24"/>
        </w:rPr>
        <w:t>（二）具有履行合同所必需的设备和专业技术能力；</w:t>
      </w:r>
    </w:p>
    <w:p w14:paraId="61776DF5">
      <w:pPr>
        <w:pStyle w:val="2"/>
        <w:spacing w:before="185" w:line="196" w:lineRule="auto"/>
        <w:ind w:left="408"/>
        <w:rPr>
          <w:rFonts w:hint="eastAsia" w:ascii="宋体" w:hAnsi="宋体" w:eastAsia="宋体" w:cs="宋体"/>
          <w:sz w:val="24"/>
          <w:szCs w:val="24"/>
        </w:rPr>
      </w:pPr>
      <w:r>
        <w:rPr>
          <w:rFonts w:hint="eastAsia" w:ascii="宋体" w:hAnsi="宋体" w:eastAsia="宋体" w:cs="宋体"/>
          <w:sz w:val="24"/>
          <w:szCs w:val="24"/>
        </w:rPr>
        <w:t>（三）有依法缴纳税收和社会保障资金的良好记录；</w:t>
      </w:r>
    </w:p>
    <w:p w14:paraId="0491D2D6">
      <w:pPr>
        <w:pStyle w:val="2"/>
        <w:spacing w:before="189" w:line="304" w:lineRule="auto"/>
        <w:ind w:left="1140" w:right="2" w:hanging="732"/>
        <w:rPr>
          <w:rFonts w:hint="eastAsia" w:ascii="宋体" w:hAnsi="宋体" w:eastAsia="宋体" w:cs="宋体"/>
          <w:sz w:val="24"/>
          <w:szCs w:val="24"/>
        </w:rPr>
      </w:pPr>
      <w:r>
        <w:rPr>
          <w:rFonts w:hint="eastAsia" w:ascii="宋体" w:hAnsi="宋体" w:eastAsia="宋体" w:cs="宋体"/>
          <w:spacing w:val="-3"/>
          <w:sz w:val="24"/>
          <w:szCs w:val="24"/>
        </w:rPr>
        <w:t>（四）参加政府采购活动前三年内，在经营活动中没有重大违法记录（重大违法记</w:t>
      </w:r>
      <w:r>
        <w:rPr>
          <w:rFonts w:hint="eastAsia" w:ascii="宋体" w:hAnsi="宋体" w:eastAsia="宋体" w:cs="宋体"/>
          <w:sz w:val="24"/>
          <w:szCs w:val="24"/>
        </w:rPr>
        <w:t>录指因违法经营受到刑事处罚或者责令停产停业、吊销许可证或者执照、较</w:t>
      </w:r>
      <w:r>
        <w:rPr>
          <w:rFonts w:hint="eastAsia" w:ascii="宋体" w:hAnsi="宋体" w:eastAsia="宋体" w:cs="宋体"/>
          <w:spacing w:val="-1"/>
          <w:sz w:val="24"/>
          <w:szCs w:val="24"/>
        </w:rPr>
        <w:t>大数额罚款等行政处罚，不包括因违法经营被禁止在一定期限内参加政府采购活动，但期限已经届满的情形</w:t>
      </w:r>
      <w:r>
        <w:rPr>
          <w:rFonts w:hint="eastAsia" w:ascii="宋体" w:hAnsi="宋体" w:eastAsia="宋体" w:cs="宋体"/>
          <w:spacing w:val="-53"/>
          <w:sz w:val="24"/>
          <w:szCs w:val="24"/>
        </w:rPr>
        <w:t>）；</w:t>
      </w:r>
    </w:p>
    <w:p w14:paraId="1DD090EF">
      <w:pPr>
        <w:pStyle w:val="2"/>
        <w:spacing w:before="6" w:line="303" w:lineRule="auto"/>
        <w:ind w:left="1138" w:right="2" w:hanging="73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五</w:t>
      </w:r>
      <w:r>
        <w:rPr>
          <w:rFonts w:hint="eastAsia" w:ascii="宋体" w:hAnsi="宋体" w:eastAsia="宋体" w:cs="宋体"/>
          <w:sz w:val="24"/>
          <w:szCs w:val="24"/>
        </w:rPr>
        <w:t>）我单位不存在为采购项目提供整体设计、规范编制或者项</w:t>
      </w:r>
      <w:r>
        <w:rPr>
          <w:rFonts w:hint="eastAsia" w:ascii="宋体" w:hAnsi="宋体" w:eastAsia="宋体" w:cs="宋体"/>
          <w:spacing w:val="-1"/>
          <w:sz w:val="24"/>
          <w:szCs w:val="24"/>
        </w:rPr>
        <w:t>目管理、监理、检</w:t>
      </w:r>
      <w:r>
        <w:rPr>
          <w:rFonts w:hint="eastAsia" w:ascii="宋体" w:hAnsi="宋体" w:eastAsia="宋体" w:cs="宋体"/>
          <w:sz w:val="24"/>
          <w:szCs w:val="24"/>
        </w:rPr>
        <w:t>测等服务后，再参加该采购项目的其他采购活动的情形（单一来源采购项目</w:t>
      </w:r>
      <w:r>
        <w:rPr>
          <w:rFonts w:hint="eastAsia" w:ascii="宋体" w:hAnsi="宋体" w:eastAsia="宋体" w:cs="宋体"/>
          <w:spacing w:val="-2"/>
          <w:w w:val="99"/>
          <w:sz w:val="24"/>
          <w:szCs w:val="24"/>
        </w:rPr>
        <w:t>除外</w:t>
      </w:r>
      <w:r>
        <w:rPr>
          <w:rFonts w:hint="eastAsia" w:ascii="宋体" w:hAnsi="宋体" w:eastAsia="宋体" w:cs="宋体"/>
          <w:spacing w:val="-54"/>
          <w:sz w:val="24"/>
          <w:szCs w:val="24"/>
        </w:rPr>
        <w:t>）；</w:t>
      </w:r>
    </w:p>
    <w:p w14:paraId="103F4662">
      <w:pPr>
        <w:pStyle w:val="2"/>
        <w:spacing w:before="2" w:line="296" w:lineRule="auto"/>
        <w:ind w:left="1137" w:right="2" w:hanging="729"/>
        <w:rPr>
          <w:rFonts w:hint="eastAsia" w:ascii="宋体" w:hAnsi="宋体" w:eastAsia="宋体" w:cs="宋体"/>
          <w:b/>
          <w:bCs/>
          <w:sz w:val="24"/>
          <w:szCs w:val="24"/>
        </w:rPr>
      </w:pPr>
      <w:r>
        <w:rPr>
          <w:rFonts w:hint="eastAsia" w:ascii="宋体" w:hAnsi="宋体" w:eastAsia="宋体" w:cs="宋体"/>
          <w:b/>
          <w:bCs/>
          <w:spacing w:val="1"/>
          <w:sz w:val="24"/>
          <w:szCs w:val="24"/>
        </w:rPr>
        <w:t>（</w:t>
      </w:r>
      <w:r>
        <w:rPr>
          <w:rFonts w:hint="eastAsia" w:ascii="宋体" w:hAnsi="宋体" w:eastAsia="宋体" w:cs="宋体"/>
          <w:b/>
          <w:bCs/>
          <w:spacing w:val="1"/>
          <w:sz w:val="24"/>
          <w:szCs w:val="24"/>
          <w:lang w:val="en-US" w:eastAsia="zh-CN"/>
        </w:rPr>
        <w:t>六</w:t>
      </w:r>
      <w:r>
        <w:rPr>
          <w:rFonts w:hint="eastAsia" w:ascii="宋体" w:hAnsi="宋体" w:eastAsia="宋体" w:cs="宋体"/>
          <w:b/>
          <w:bCs/>
          <w:spacing w:val="1"/>
          <w:sz w:val="24"/>
          <w:szCs w:val="24"/>
        </w:rPr>
        <w:t>）与我单位存在“单位负责人为同一人或者存在直接控股、管理关系”的其他法</w:t>
      </w:r>
      <w:r>
        <w:rPr>
          <w:rFonts w:hint="eastAsia" w:ascii="宋体" w:hAnsi="宋体" w:eastAsia="宋体" w:cs="宋体"/>
          <w:b/>
          <w:bCs/>
          <w:spacing w:val="-1"/>
          <w:sz w:val="24"/>
          <w:szCs w:val="24"/>
        </w:rPr>
        <w:t>人单位信息如下（如有，不论其是否参加同一合同项下的政府采购活动均须</w:t>
      </w:r>
      <w:r>
        <w:rPr>
          <w:rFonts w:hint="eastAsia" w:ascii="宋体" w:hAnsi="宋体" w:eastAsia="宋体" w:cs="宋体"/>
          <w:b/>
          <w:bCs/>
          <w:spacing w:val="-2"/>
          <w:sz w:val="24"/>
          <w:szCs w:val="24"/>
        </w:rPr>
        <w:t>填写</w:t>
      </w:r>
      <w:r>
        <w:rPr>
          <w:rFonts w:hint="eastAsia" w:ascii="宋体" w:hAnsi="宋体" w:eastAsia="宋体" w:cs="宋体"/>
          <w:b/>
          <w:bCs/>
          <w:spacing w:val="-38"/>
          <w:sz w:val="24"/>
          <w:szCs w:val="24"/>
        </w:rPr>
        <w:t>）：</w:t>
      </w:r>
    </w:p>
    <w:tbl>
      <w:tblPr>
        <w:tblStyle w:val="20"/>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0BE86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0CB1B913">
            <w:pPr>
              <w:spacing w:before="86" w:line="199" w:lineRule="auto"/>
              <w:ind w:left="240"/>
              <w:rPr>
                <w:rFonts w:hint="eastAsia" w:ascii="宋体" w:hAnsi="宋体" w:eastAsia="宋体" w:cs="宋体"/>
                <w:sz w:val="24"/>
                <w:szCs w:val="24"/>
              </w:rPr>
            </w:pPr>
            <w:r>
              <w:rPr>
                <w:rFonts w:hint="eastAsia" w:ascii="宋体" w:hAnsi="宋体" w:eastAsia="宋体" w:cs="宋体"/>
                <w:spacing w:val="-3"/>
                <w:sz w:val="24"/>
                <w:szCs w:val="24"/>
              </w:rPr>
              <w:t>序号</w:t>
            </w:r>
          </w:p>
        </w:tc>
        <w:tc>
          <w:tcPr>
            <w:tcW w:w="4571" w:type="dxa"/>
            <w:vAlign w:val="top"/>
          </w:tcPr>
          <w:p w14:paraId="3F394FE5">
            <w:pPr>
              <w:spacing w:before="86" w:line="199" w:lineRule="auto"/>
              <w:ind w:left="1807"/>
              <w:rPr>
                <w:rFonts w:hint="eastAsia" w:ascii="宋体" w:hAnsi="宋体" w:eastAsia="宋体" w:cs="宋体"/>
                <w:sz w:val="24"/>
                <w:szCs w:val="24"/>
              </w:rPr>
            </w:pPr>
            <w:r>
              <w:rPr>
                <w:rFonts w:hint="eastAsia" w:ascii="宋体" w:hAnsi="宋体" w:eastAsia="宋体" w:cs="宋体"/>
                <w:spacing w:val="-1"/>
                <w:sz w:val="24"/>
                <w:szCs w:val="24"/>
              </w:rPr>
              <w:t>单位名称</w:t>
            </w:r>
          </w:p>
        </w:tc>
        <w:tc>
          <w:tcPr>
            <w:tcW w:w="2979" w:type="dxa"/>
            <w:vAlign w:val="top"/>
          </w:tcPr>
          <w:p w14:paraId="7F925A72">
            <w:pPr>
              <w:spacing w:before="86" w:line="199" w:lineRule="auto"/>
              <w:ind w:left="1013"/>
              <w:rPr>
                <w:rFonts w:hint="eastAsia" w:ascii="宋体" w:hAnsi="宋体" w:eastAsia="宋体" w:cs="宋体"/>
                <w:sz w:val="24"/>
                <w:szCs w:val="24"/>
              </w:rPr>
            </w:pPr>
            <w:r>
              <w:rPr>
                <w:rFonts w:hint="eastAsia" w:ascii="宋体" w:hAnsi="宋体" w:eastAsia="宋体" w:cs="宋体"/>
                <w:spacing w:val="-2"/>
                <w:sz w:val="24"/>
                <w:szCs w:val="24"/>
              </w:rPr>
              <w:t>相互关系</w:t>
            </w:r>
          </w:p>
        </w:tc>
      </w:tr>
      <w:tr w14:paraId="1004A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5DD1E9B1">
            <w:pPr>
              <w:pStyle w:val="21"/>
              <w:spacing w:before="120" w:line="199" w:lineRule="auto"/>
              <w:ind w:left="424"/>
              <w:rPr>
                <w:rFonts w:hint="eastAsia" w:ascii="宋体" w:hAnsi="宋体" w:eastAsia="宋体" w:cs="宋体"/>
                <w:sz w:val="24"/>
                <w:szCs w:val="24"/>
              </w:rPr>
            </w:pPr>
            <w:r>
              <w:rPr>
                <w:rFonts w:hint="eastAsia" w:ascii="宋体" w:hAnsi="宋体" w:eastAsia="宋体" w:cs="宋体"/>
                <w:sz w:val="24"/>
                <w:szCs w:val="24"/>
              </w:rPr>
              <w:t>1</w:t>
            </w:r>
          </w:p>
        </w:tc>
        <w:tc>
          <w:tcPr>
            <w:tcW w:w="4571" w:type="dxa"/>
            <w:vAlign w:val="top"/>
          </w:tcPr>
          <w:p w14:paraId="7BCD2195">
            <w:pPr>
              <w:pStyle w:val="21"/>
              <w:rPr>
                <w:rFonts w:hint="eastAsia" w:ascii="宋体" w:hAnsi="宋体" w:eastAsia="宋体" w:cs="宋体"/>
                <w:sz w:val="24"/>
                <w:szCs w:val="24"/>
              </w:rPr>
            </w:pPr>
          </w:p>
        </w:tc>
        <w:tc>
          <w:tcPr>
            <w:tcW w:w="2979" w:type="dxa"/>
            <w:vAlign w:val="top"/>
          </w:tcPr>
          <w:p w14:paraId="3BB80143">
            <w:pPr>
              <w:pStyle w:val="21"/>
              <w:rPr>
                <w:rFonts w:hint="eastAsia" w:ascii="宋体" w:hAnsi="宋体" w:eastAsia="宋体" w:cs="宋体"/>
                <w:sz w:val="24"/>
                <w:szCs w:val="24"/>
              </w:rPr>
            </w:pPr>
          </w:p>
        </w:tc>
      </w:tr>
      <w:tr w14:paraId="2A2EA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1D69ECDA">
            <w:pPr>
              <w:pStyle w:val="21"/>
              <w:spacing w:before="118" w:line="201" w:lineRule="auto"/>
              <w:ind w:left="415"/>
              <w:rPr>
                <w:rFonts w:hint="eastAsia" w:ascii="宋体" w:hAnsi="宋体" w:eastAsia="宋体" w:cs="宋体"/>
                <w:sz w:val="24"/>
                <w:szCs w:val="24"/>
              </w:rPr>
            </w:pPr>
            <w:r>
              <w:rPr>
                <w:rFonts w:hint="eastAsia" w:ascii="宋体" w:hAnsi="宋体" w:eastAsia="宋体" w:cs="宋体"/>
                <w:spacing w:val="1"/>
                <w:sz w:val="24"/>
                <w:szCs w:val="24"/>
              </w:rPr>
              <w:t>2</w:t>
            </w:r>
          </w:p>
        </w:tc>
        <w:tc>
          <w:tcPr>
            <w:tcW w:w="4571" w:type="dxa"/>
            <w:vAlign w:val="top"/>
          </w:tcPr>
          <w:p w14:paraId="6A23649A">
            <w:pPr>
              <w:pStyle w:val="21"/>
              <w:rPr>
                <w:rFonts w:hint="eastAsia" w:ascii="宋体" w:hAnsi="宋体" w:eastAsia="宋体" w:cs="宋体"/>
                <w:sz w:val="24"/>
                <w:szCs w:val="24"/>
              </w:rPr>
            </w:pPr>
          </w:p>
        </w:tc>
        <w:tc>
          <w:tcPr>
            <w:tcW w:w="2979" w:type="dxa"/>
            <w:vAlign w:val="top"/>
          </w:tcPr>
          <w:p w14:paraId="60CEB0FA">
            <w:pPr>
              <w:pStyle w:val="21"/>
              <w:rPr>
                <w:rFonts w:hint="eastAsia" w:ascii="宋体" w:hAnsi="宋体" w:eastAsia="宋体" w:cs="宋体"/>
                <w:sz w:val="24"/>
                <w:szCs w:val="24"/>
              </w:rPr>
            </w:pPr>
          </w:p>
        </w:tc>
      </w:tr>
      <w:tr w14:paraId="397AE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73586543">
            <w:pPr>
              <w:pStyle w:val="21"/>
              <w:spacing w:before="269" w:line="80" w:lineRule="exact"/>
              <w:ind w:left="382"/>
              <w:rPr>
                <w:rFonts w:hint="eastAsia" w:ascii="宋体" w:hAnsi="宋体" w:eastAsia="宋体" w:cs="宋体"/>
                <w:sz w:val="24"/>
                <w:szCs w:val="24"/>
              </w:rPr>
            </w:pPr>
            <w:r>
              <w:rPr>
                <w:rFonts w:hint="eastAsia" w:ascii="宋体" w:hAnsi="宋体" w:eastAsia="宋体" w:cs="宋体"/>
                <w:position w:val="1"/>
                <w:sz w:val="24"/>
                <w:szCs w:val="24"/>
              </w:rPr>
              <w:t>…</w:t>
            </w:r>
          </w:p>
        </w:tc>
        <w:tc>
          <w:tcPr>
            <w:tcW w:w="4571" w:type="dxa"/>
            <w:vAlign w:val="top"/>
          </w:tcPr>
          <w:p w14:paraId="50BFB6A8">
            <w:pPr>
              <w:pStyle w:val="21"/>
              <w:rPr>
                <w:rFonts w:hint="eastAsia" w:ascii="宋体" w:hAnsi="宋体" w:eastAsia="宋体" w:cs="宋体"/>
                <w:sz w:val="24"/>
                <w:szCs w:val="24"/>
              </w:rPr>
            </w:pPr>
          </w:p>
        </w:tc>
        <w:tc>
          <w:tcPr>
            <w:tcW w:w="2979" w:type="dxa"/>
            <w:vAlign w:val="top"/>
          </w:tcPr>
          <w:p w14:paraId="5835FFCF">
            <w:pPr>
              <w:pStyle w:val="21"/>
              <w:rPr>
                <w:rFonts w:hint="eastAsia" w:ascii="宋体" w:hAnsi="宋体" w:eastAsia="宋体" w:cs="宋体"/>
                <w:sz w:val="24"/>
                <w:szCs w:val="24"/>
              </w:rPr>
            </w:pPr>
          </w:p>
        </w:tc>
      </w:tr>
    </w:tbl>
    <w:p w14:paraId="6577F0F3">
      <w:pPr>
        <w:pStyle w:val="2"/>
        <w:spacing w:before="286" w:line="200" w:lineRule="auto"/>
        <w:ind w:left="486"/>
        <w:rPr>
          <w:rFonts w:hint="eastAsia" w:ascii="宋体" w:hAnsi="宋体" w:eastAsia="宋体" w:cs="宋体"/>
          <w:sz w:val="24"/>
          <w:szCs w:val="24"/>
        </w:rPr>
      </w:pPr>
      <w:r>
        <w:rPr>
          <w:rFonts w:hint="eastAsia" w:ascii="宋体" w:hAnsi="宋体" w:eastAsia="宋体" w:cs="宋体"/>
          <w:spacing w:val="-3"/>
          <w:sz w:val="24"/>
          <w:szCs w:val="24"/>
        </w:rPr>
        <w:t>上述声明真实有效，否则我方负全部责任。</w:t>
      </w:r>
    </w:p>
    <w:p w14:paraId="6E8DA277">
      <w:pPr>
        <w:spacing w:line="342" w:lineRule="auto"/>
        <w:rPr>
          <w:rFonts w:hint="eastAsia" w:ascii="宋体" w:hAnsi="宋体" w:eastAsia="宋体" w:cs="宋体"/>
          <w:sz w:val="24"/>
          <w:szCs w:val="24"/>
        </w:rPr>
      </w:pPr>
    </w:p>
    <w:p w14:paraId="36D08CD0">
      <w:pPr>
        <w:pStyle w:val="2"/>
        <w:spacing w:before="103" w:line="327" w:lineRule="auto"/>
        <w:ind w:left="5288" w:hanging="890"/>
        <w:rPr>
          <w:rFonts w:hint="eastAsia" w:ascii="宋体" w:hAnsi="宋体" w:eastAsia="宋体" w:cs="宋体"/>
          <w:spacing w:val="-59"/>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p>
    <w:p w14:paraId="7A1B5CEC">
      <w:pPr>
        <w:pStyle w:val="2"/>
        <w:spacing w:before="103" w:line="327" w:lineRule="auto"/>
        <w:ind w:left="5288" w:hanging="890"/>
        <w:rPr>
          <w:rFonts w:hint="eastAsia" w:ascii="宋体" w:hAnsi="宋体" w:eastAsia="宋体" w:cs="宋体"/>
          <w:sz w:val="24"/>
          <w:szCs w:val="24"/>
        </w:rPr>
      </w:pPr>
      <w:r>
        <w:rPr>
          <w:rFonts w:hint="eastAsia" w:ascii="宋体" w:hAnsi="宋体" w:eastAsia="宋体" w:cs="宋体"/>
          <w:spacing w:val="-13"/>
          <w:sz w:val="24"/>
          <w:szCs w:val="24"/>
        </w:rPr>
        <w:t>日期：年</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rPr>
        <w:t>月</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rPr>
        <w:t>日</w:t>
      </w:r>
    </w:p>
    <w:p w14:paraId="6FBA75B1">
      <w:pPr>
        <w:pStyle w:val="2"/>
        <w:spacing w:before="273" w:line="313" w:lineRule="auto"/>
        <w:ind w:left="4" w:right="28" w:hanging="1"/>
        <w:rPr>
          <w:rFonts w:hint="eastAsia" w:ascii="宋体" w:hAnsi="宋体" w:eastAsia="宋体" w:cs="宋体"/>
          <w:sz w:val="24"/>
          <w:szCs w:val="24"/>
        </w:rPr>
      </w:pPr>
      <w:r>
        <w:rPr>
          <w:rFonts w:hint="eastAsia" w:ascii="宋体" w:hAnsi="宋体" w:eastAsia="宋体" w:cs="宋体"/>
          <w:spacing w:val="2"/>
          <w:sz w:val="24"/>
          <w:szCs w:val="24"/>
        </w:rPr>
        <w:t>说明：供应商承诺不实的，依据《政府采购法》</w:t>
      </w:r>
      <w:r>
        <w:rPr>
          <w:rFonts w:hint="eastAsia" w:ascii="宋体" w:hAnsi="宋体" w:eastAsia="宋体" w:cs="宋体"/>
          <w:spacing w:val="1"/>
          <w:sz w:val="24"/>
          <w:szCs w:val="24"/>
        </w:rPr>
        <w:t>第七十七条“提供虚假材料谋取中标、成交的”有关规定予以处理。</w:t>
      </w:r>
    </w:p>
    <w:p w14:paraId="5FCA610D">
      <w:pPr>
        <w:spacing w:line="313" w:lineRule="auto"/>
        <w:rPr>
          <w:rFonts w:hint="eastAsia" w:ascii="宋体" w:hAnsi="宋体" w:eastAsia="宋体" w:cs="宋体"/>
          <w:sz w:val="24"/>
          <w:szCs w:val="24"/>
        </w:rPr>
        <w:sectPr>
          <w:footerReference r:id="rId21" w:type="default"/>
          <w:pgSz w:w="11905" w:h="16838"/>
          <w:pgMar w:top="1361" w:right="1417" w:bottom="1247" w:left="1417" w:header="839" w:footer="884" w:gutter="0"/>
          <w:pgNumType w:fmt="numberInDash"/>
          <w:cols w:space="0" w:num="1"/>
          <w:rtlGutter w:val="0"/>
          <w:docGrid w:linePitch="0" w:charSpace="0"/>
        </w:sectPr>
      </w:pPr>
    </w:p>
    <w:p w14:paraId="2FFAD6CC">
      <w:pPr>
        <w:pStyle w:val="2"/>
        <w:keepNext w:val="0"/>
        <w:keepLines w:val="0"/>
        <w:pageBreakBefore w:val="0"/>
        <w:widowControl/>
        <w:kinsoku w:val="0"/>
        <w:wordWrap/>
        <w:overflowPunct/>
        <w:topLinePunct w:val="0"/>
        <w:autoSpaceDE w:val="0"/>
        <w:autoSpaceDN w:val="0"/>
        <w:bidi w:val="0"/>
        <w:adjustRightInd w:val="0"/>
        <w:snapToGrid w:val="0"/>
        <w:spacing w:before="273" w:line="202" w:lineRule="auto"/>
        <w:ind w:left="28"/>
        <w:textAlignment w:val="baseline"/>
        <w:outlineLvl w:val="2"/>
        <w:rPr>
          <w:rFonts w:hint="eastAsia" w:ascii="宋体" w:hAnsi="宋体" w:eastAsia="宋体" w:cs="宋体"/>
          <w:sz w:val="24"/>
          <w:szCs w:val="24"/>
        </w:rPr>
      </w:pPr>
      <w:bookmarkStart w:id="151" w:name="_Toc5641"/>
      <w:r>
        <w:rPr>
          <w:rFonts w:hint="eastAsia" w:ascii="宋体" w:hAnsi="宋体" w:eastAsia="宋体" w:cs="宋体"/>
          <w:sz w:val="24"/>
          <w:szCs w:val="24"/>
          <w:lang w:val="en-US" w:eastAsia="zh-CN"/>
        </w:rPr>
        <w:t>2.</w:t>
      </w:r>
      <w:r>
        <w:rPr>
          <w:rFonts w:hint="eastAsia" w:ascii="宋体" w:hAnsi="宋体" w:eastAsia="宋体" w:cs="宋体"/>
          <w:sz w:val="24"/>
          <w:szCs w:val="24"/>
        </w:rPr>
        <w:t>本项目的特定资格要求（如有）</w:t>
      </w:r>
      <w:bookmarkEnd w:id="151"/>
    </w:p>
    <w:p w14:paraId="06D9EB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p>
    <w:p w14:paraId="27C4D6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2.1投标产品须符合中华人民共和国国务院令第739号修订后的《医疗器械监督管理条例》相关规定，取得医疗器械注册证或备案凭证；依法免于注册或备案的,提供依法免注册或备案的证明材料。</w:t>
      </w:r>
    </w:p>
    <w:p w14:paraId="4414539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bCs/>
          <w:spacing w:val="-1"/>
          <w:sz w:val="24"/>
          <w:szCs w:val="24"/>
        </w:rPr>
      </w:pPr>
      <w:r>
        <w:rPr>
          <w:rFonts w:hint="eastAsia" w:ascii="宋体" w:hAnsi="宋体" w:eastAsia="宋体" w:cs="宋体"/>
          <w:sz w:val="24"/>
          <w:szCs w:val="24"/>
          <w:lang w:val="en-US" w:eastAsia="zh-CN"/>
        </w:rPr>
        <w:t>2.2投标人为代理商或经销商投标时须具有医疗器械经营许可证或医疗器械经营备案凭证（从事第一类医疗器械经营活动的除外）；投标人为境内生产企业投标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DA25B8C">
      <w:pPr>
        <w:rPr>
          <w:rFonts w:hint="eastAsia" w:ascii="宋体" w:hAnsi="宋体" w:eastAsia="宋体" w:cs="宋体"/>
          <w:b/>
          <w:bCs/>
          <w:spacing w:val="-1"/>
          <w:sz w:val="24"/>
          <w:szCs w:val="24"/>
        </w:rPr>
      </w:pPr>
      <w:r>
        <w:rPr>
          <w:rFonts w:hint="eastAsia" w:ascii="宋体" w:hAnsi="宋体" w:eastAsia="宋体" w:cs="宋体"/>
          <w:b/>
          <w:bCs/>
          <w:spacing w:val="-1"/>
          <w:sz w:val="24"/>
          <w:szCs w:val="24"/>
        </w:rPr>
        <w:br w:type="page"/>
      </w:r>
    </w:p>
    <w:p w14:paraId="6931679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outlineLvl w:val="1"/>
        <w:rPr>
          <w:rFonts w:hint="eastAsia" w:ascii="宋体" w:hAnsi="宋体" w:eastAsia="宋体" w:cs="宋体"/>
          <w:b/>
          <w:bCs/>
          <w:spacing w:val="-1"/>
          <w:sz w:val="32"/>
          <w:szCs w:val="32"/>
        </w:rPr>
      </w:pPr>
      <w:bookmarkStart w:id="152" w:name="_Toc3455"/>
      <w:bookmarkStart w:id="153" w:name="_Toc20797"/>
      <w:r>
        <w:rPr>
          <w:rFonts w:hint="eastAsia" w:ascii="宋体" w:hAnsi="宋体" w:eastAsia="宋体" w:cs="宋体"/>
          <w:b/>
          <w:bCs/>
          <w:spacing w:val="-1"/>
          <w:sz w:val="32"/>
          <w:szCs w:val="32"/>
        </w:rPr>
        <w:t>二、商务技术文件格式</w:t>
      </w:r>
      <w:bookmarkEnd w:id="152"/>
      <w:bookmarkEnd w:id="153"/>
    </w:p>
    <w:p w14:paraId="0F297B2D">
      <w:pPr>
        <w:pStyle w:val="2"/>
        <w:spacing w:before="334" w:line="196" w:lineRule="auto"/>
        <w:ind w:left="6"/>
        <w:rPr>
          <w:rFonts w:hint="eastAsia" w:ascii="宋体" w:hAnsi="宋体" w:eastAsia="宋体" w:cs="宋体"/>
          <w:sz w:val="24"/>
          <w:szCs w:val="24"/>
        </w:rPr>
      </w:pPr>
      <w:r>
        <w:rPr>
          <w:rFonts w:hint="eastAsia" w:ascii="宋体" w:hAnsi="宋体" w:eastAsia="宋体" w:cs="宋体"/>
          <w:b/>
          <w:bCs/>
          <w:spacing w:val="-5"/>
          <w:sz w:val="24"/>
          <w:szCs w:val="24"/>
        </w:rPr>
        <w:t>投标文件（商务技术文件）封面（非实质性格式）</w:t>
      </w:r>
    </w:p>
    <w:p w14:paraId="39A4CF60">
      <w:pPr>
        <w:pStyle w:val="2"/>
        <w:spacing w:before="352" w:line="196" w:lineRule="auto"/>
        <w:ind w:left="1819"/>
        <w:rPr>
          <w:rFonts w:hint="eastAsia" w:ascii="宋体" w:hAnsi="宋体" w:eastAsia="宋体" w:cs="宋体"/>
          <w:sz w:val="83"/>
          <w:szCs w:val="83"/>
        </w:rPr>
      </w:pPr>
      <w:r>
        <w:rPr>
          <w:rFonts w:hint="eastAsia" w:ascii="宋体" w:hAnsi="宋体" w:eastAsia="宋体" w:cs="宋体"/>
          <w:b/>
          <w:bCs/>
          <w:spacing w:val="-8"/>
          <w:sz w:val="83"/>
          <w:szCs w:val="83"/>
        </w:rPr>
        <w:t>投</w:t>
      </w:r>
      <w:r>
        <w:rPr>
          <w:rFonts w:hint="eastAsia" w:ascii="宋体" w:hAnsi="宋体" w:eastAsia="宋体" w:cs="宋体"/>
          <w:b/>
          <w:bCs/>
          <w:spacing w:val="91"/>
          <w:sz w:val="83"/>
          <w:szCs w:val="83"/>
        </w:rPr>
        <w:t xml:space="preserve">  </w:t>
      </w:r>
      <w:r>
        <w:rPr>
          <w:rFonts w:hint="eastAsia" w:ascii="宋体" w:hAnsi="宋体" w:eastAsia="宋体" w:cs="宋体"/>
          <w:b/>
          <w:bCs/>
          <w:spacing w:val="-8"/>
          <w:sz w:val="83"/>
          <w:szCs w:val="83"/>
        </w:rPr>
        <w:t>标</w:t>
      </w:r>
      <w:r>
        <w:rPr>
          <w:rFonts w:hint="eastAsia" w:ascii="宋体" w:hAnsi="宋体" w:eastAsia="宋体" w:cs="宋体"/>
          <w:b/>
          <w:bCs/>
          <w:spacing w:val="97"/>
          <w:sz w:val="83"/>
          <w:szCs w:val="83"/>
        </w:rPr>
        <w:t xml:space="preserve">  </w:t>
      </w:r>
      <w:r>
        <w:rPr>
          <w:rFonts w:hint="eastAsia" w:ascii="宋体" w:hAnsi="宋体" w:eastAsia="宋体" w:cs="宋体"/>
          <w:b/>
          <w:bCs/>
          <w:spacing w:val="-8"/>
          <w:sz w:val="83"/>
          <w:szCs w:val="83"/>
        </w:rPr>
        <w:t>文</w:t>
      </w:r>
      <w:r>
        <w:rPr>
          <w:rFonts w:hint="eastAsia" w:ascii="宋体" w:hAnsi="宋体" w:eastAsia="宋体" w:cs="宋体"/>
          <w:b/>
          <w:bCs/>
          <w:spacing w:val="94"/>
          <w:sz w:val="83"/>
          <w:szCs w:val="83"/>
        </w:rPr>
        <w:t xml:space="preserve">  </w:t>
      </w:r>
      <w:r>
        <w:rPr>
          <w:rFonts w:hint="eastAsia" w:ascii="宋体" w:hAnsi="宋体" w:eastAsia="宋体" w:cs="宋体"/>
          <w:b/>
          <w:bCs/>
          <w:spacing w:val="-8"/>
          <w:sz w:val="83"/>
          <w:szCs w:val="83"/>
        </w:rPr>
        <w:t>件</w:t>
      </w:r>
    </w:p>
    <w:p w14:paraId="58273044">
      <w:pPr>
        <w:pStyle w:val="2"/>
        <w:spacing w:before="1" w:line="196" w:lineRule="auto"/>
        <w:ind w:left="1946"/>
        <w:rPr>
          <w:rFonts w:hint="eastAsia" w:ascii="宋体" w:hAnsi="宋体" w:eastAsia="宋体" w:cs="宋体"/>
          <w:sz w:val="52"/>
          <w:szCs w:val="52"/>
        </w:rPr>
      </w:pPr>
      <w:r>
        <w:rPr>
          <w:rFonts w:hint="eastAsia" w:ascii="宋体" w:hAnsi="宋体" w:eastAsia="宋体" w:cs="宋体"/>
          <w:b/>
          <w:bCs/>
          <w:spacing w:val="63"/>
          <w:sz w:val="52"/>
          <w:szCs w:val="52"/>
        </w:rPr>
        <w:t>（商务技术文件）</w:t>
      </w:r>
    </w:p>
    <w:p w14:paraId="202FC088">
      <w:pPr>
        <w:spacing w:line="300" w:lineRule="auto"/>
        <w:rPr>
          <w:rFonts w:hint="eastAsia" w:ascii="宋体" w:hAnsi="宋体" w:eastAsia="宋体" w:cs="宋体"/>
          <w:sz w:val="21"/>
        </w:rPr>
      </w:pPr>
    </w:p>
    <w:p w14:paraId="33F746A1">
      <w:pPr>
        <w:spacing w:line="301" w:lineRule="auto"/>
        <w:rPr>
          <w:rFonts w:hint="eastAsia" w:ascii="宋体" w:hAnsi="宋体" w:eastAsia="宋体" w:cs="宋体"/>
          <w:sz w:val="21"/>
        </w:rPr>
      </w:pPr>
    </w:p>
    <w:p w14:paraId="3F9087D3">
      <w:pPr>
        <w:pStyle w:val="2"/>
        <w:spacing w:before="133" w:line="205" w:lineRule="auto"/>
        <w:ind w:left="546"/>
        <w:rPr>
          <w:rFonts w:hint="eastAsia" w:ascii="宋体" w:hAnsi="宋体" w:eastAsia="宋体" w:cs="宋体"/>
        </w:rPr>
      </w:pPr>
      <w:r>
        <w:rPr>
          <w:rFonts w:hint="eastAsia" w:ascii="宋体" w:hAnsi="宋体" w:eastAsia="宋体" w:cs="宋体"/>
          <w:b/>
          <w:bCs/>
          <w:spacing w:val="-11"/>
        </w:rPr>
        <w:t>项目名称:</w:t>
      </w:r>
    </w:p>
    <w:p w14:paraId="6DA493ED">
      <w:pPr>
        <w:pStyle w:val="2"/>
        <w:spacing w:before="11" w:line="205" w:lineRule="auto"/>
        <w:ind w:left="546"/>
        <w:rPr>
          <w:rFonts w:hint="eastAsia" w:ascii="宋体" w:hAnsi="宋体" w:eastAsia="宋体" w:cs="宋体"/>
        </w:rPr>
      </w:pPr>
      <w:r>
        <w:rPr>
          <w:rFonts w:hint="eastAsia" w:ascii="宋体" w:hAnsi="宋体" w:eastAsia="宋体" w:cs="宋体"/>
          <w:b/>
          <w:bCs/>
          <w:spacing w:val="1"/>
        </w:rPr>
        <w:t>项目编号/包号：</w:t>
      </w:r>
    </w:p>
    <w:p w14:paraId="3DC58C18">
      <w:pPr>
        <w:spacing w:line="257" w:lineRule="auto"/>
        <w:rPr>
          <w:rFonts w:hint="eastAsia" w:ascii="宋体" w:hAnsi="宋体" w:eastAsia="宋体" w:cs="宋体"/>
          <w:sz w:val="21"/>
        </w:rPr>
      </w:pPr>
    </w:p>
    <w:p w14:paraId="06FFEA56">
      <w:pPr>
        <w:spacing w:line="258" w:lineRule="auto"/>
        <w:rPr>
          <w:rFonts w:hint="eastAsia" w:ascii="宋体" w:hAnsi="宋体" w:eastAsia="宋体" w:cs="宋体"/>
          <w:sz w:val="21"/>
        </w:rPr>
      </w:pPr>
    </w:p>
    <w:p w14:paraId="6B41A1C7">
      <w:pPr>
        <w:spacing w:line="258" w:lineRule="auto"/>
        <w:rPr>
          <w:rFonts w:hint="eastAsia" w:ascii="宋体" w:hAnsi="宋体" w:eastAsia="宋体" w:cs="宋体"/>
          <w:sz w:val="21"/>
        </w:rPr>
      </w:pPr>
    </w:p>
    <w:p w14:paraId="4313F5A6">
      <w:pPr>
        <w:spacing w:line="258" w:lineRule="auto"/>
        <w:rPr>
          <w:rFonts w:hint="eastAsia" w:ascii="宋体" w:hAnsi="宋体" w:eastAsia="宋体" w:cs="宋体"/>
          <w:sz w:val="21"/>
        </w:rPr>
      </w:pPr>
    </w:p>
    <w:p w14:paraId="3DF1C5EC">
      <w:pPr>
        <w:spacing w:line="258" w:lineRule="auto"/>
        <w:rPr>
          <w:rFonts w:hint="eastAsia" w:ascii="宋体" w:hAnsi="宋体" w:eastAsia="宋体" w:cs="宋体"/>
          <w:sz w:val="21"/>
        </w:rPr>
      </w:pPr>
    </w:p>
    <w:p w14:paraId="766E95E3">
      <w:pPr>
        <w:spacing w:line="258" w:lineRule="auto"/>
        <w:rPr>
          <w:rFonts w:hint="eastAsia" w:ascii="宋体" w:hAnsi="宋体" w:eastAsia="宋体" w:cs="宋体"/>
          <w:sz w:val="21"/>
        </w:rPr>
      </w:pPr>
    </w:p>
    <w:p w14:paraId="790E1270">
      <w:pPr>
        <w:spacing w:line="258" w:lineRule="auto"/>
        <w:rPr>
          <w:rFonts w:hint="eastAsia" w:ascii="宋体" w:hAnsi="宋体" w:eastAsia="宋体" w:cs="宋体"/>
          <w:sz w:val="21"/>
        </w:rPr>
      </w:pPr>
    </w:p>
    <w:p w14:paraId="10B594AB">
      <w:pPr>
        <w:spacing w:line="258" w:lineRule="auto"/>
        <w:rPr>
          <w:rFonts w:hint="eastAsia" w:ascii="宋体" w:hAnsi="宋体" w:eastAsia="宋体" w:cs="宋体"/>
          <w:sz w:val="21"/>
        </w:rPr>
      </w:pPr>
    </w:p>
    <w:p w14:paraId="5DAAE7B1">
      <w:pPr>
        <w:spacing w:line="258" w:lineRule="auto"/>
        <w:rPr>
          <w:rFonts w:hint="eastAsia" w:ascii="宋体" w:hAnsi="宋体" w:eastAsia="宋体" w:cs="宋体"/>
          <w:sz w:val="21"/>
        </w:rPr>
      </w:pPr>
    </w:p>
    <w:p w14:paraId="6B8222DD">
      <w:pPr>
        <w:spacing w:line="258" w:lineRule="auto"/>
        <w:rPr>
          <w:rFonts w:hint="eastAsia" w:ascii="宋体" w:hAnsi="宋体" w:eastAsia="宋体" w:cs="宋体"/>
          <w:sz w:val="21"/>
        </w:rPr>
      </w:pPr>
    </w:p>
    <w:p w14:paraId="37771F38">
      <w:pPr>
        <w:spacing w:line="258" w:lineRule="auto"/>
        <w:rPr>
          <w:rFonts w:hint="eastAsia" w:ascii="宋体" w:hAnsi="宋体" w:eastAsia="宋体" w:cs="宋体"/>
          <w:sz w:val="21"/>
        </w:rPr>
      </w:pPr>
    </w:p>
    <w:p w14:paraId="35350AC3">
      <w:pPr>
        <w:pStyle w:val="2"/>
        <w:spacing w:before="134" w:line="205" w:lineRule="auto"/>
        <w:ind w:left="1447"/>
      </w:pPr>
      <w:r>
        <w:rPr>
          <w:rFonts w:hint="eastAsia" w:ascii="宋体" w:hAnsi="宋体" w:eastAsia="宋体" w:cs="宋体"/>
          <w:b/>
          <w:bCs/>
          <w:spacing w:val="34"/>
        </w:rPr>
        <w:t>投标人名称</w:t>
      </w:r>
      <w:r>
        <w:rPr>
          <w:rFonts w:hint="eastAsia" w:ascii="宋体" w:hAnsi="宋体" w:eastAsia="宋体" w:cs="宋体"/>
          <w:b/>
          <w:bCs/>
          <w:spacing w:val="-39"/>
        </w:rPr>
        <w:t xml:space="preserve"> </w:t>
      </w:r>
      <w:r>
        <w:rPr>
          <w:rFonts w:hint="eastAsia" w:ascii="宋体" w:hAnsi="宋体" w:eastAsia="宋体" w:cs="宋体"/>
          <w:b/>
          <w:bCs/>
          <w:spacing w:val="34"/>
        </w:rPr>
        <w:t>：</w:t>
      </w:r>
    </w:p>
    <w:p w14:paraId="0AAC8E6A">
      <w:pPr>
        <w:spacing w:line="205" w:lineRule="auto"/>
        <w:sectPr>
          <w:headerReference r:id="rId22" w:type="default"/>
          <w:footerReference r:id="rId23" w:type="default"/>
          <w:pgSz w:w="11905" w:h="16838"/>
          <w:pgMar w:top="1361" w:right="1417" w:bottom="1247" w:left="1417" w:header="839" w:footer="884" w:gutter="0"/>
          <w:pgNumType w:fmt="numberInDash"/>
          <w:cols w:space="0" w:num="1"/>
          <w:rtlGutter w:val="0"/>
          <w:docGrid w:linePitch="0" w:charSpace="0"/>
        </w:sectPr>
      </w:pPr>
    </w:p>
    <w:p w14:paraId="1A8A8C89">
      <w:pPr>
        <w:pStyle w:val="2"/>
        <w:keepNext w:val="0"/>
        <w:keepLines w:val="0"/>
        <w:pageBreakBefore w:val="0"/>
        <w:widowControl/>
        <w:kinsoku w:val="0"/>
        <w:wordWrap/>
        <w:overflowPunct/>
        <w:topLinePunct w:val="0"/>
        <w:autoSpaceDE w:val="0"/>
        <w:autoSpaceDN w:val="0"/>
        <w:bidi w:val="0"/>
        <w:adjustRightInd w:val="0"/>
        <w:snapToGrid w:val="0"/>
        <w:spacing w:before="273" w:line="202" w:lineRule="auto"/>
        <w:ind w:left="28"/>
        <w:textAlignment w:val="baseline"/>
        <w:outlineLvl w:val="2"/>
        <w:rPr>
          <w:rFonts w:hint="eastAsia" w:ascii="宋体" w:hAnsi="宋体" w:eastAsia="宋体" w:cs="宋体"/>
          <w:sz w:val="24"/>
          <w:szCs w:val="24"/>
        </w:rPr>
      </w:pPr>
      <w:bookmarkStart w:id="154" w:name="_Toc27851"/>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投标书（实质性格式）</w:t>
      </w:r>
      <w:bookmarkEnd w:id="154"/>
    </w:p>
    <w:p w14:paraId="5F5E26C3">
      <w:pPr>
        <w:pStyle w:val="2"/>
        <w:spacing w:before="150" w:line="205" w:lineRule="auto"/>
        <w:ind w:left="4002"/>
        <w:rPr>
          <w:rFonts w:hint="eastAsia" w:ascii="宋体" w:hAnsi="宋体" w:eastAsia="宋体" w:cs="宋体"/>
          <w:sz w:val="24"/>
          <w:szCs w:val="24"/>
        </w:rPr>
      </w:pPr>
      <w:r>
        <w:rPr>
          <w:rFonts w:hint="eastAsia" w:ascii="宋体" w:hAnsi="宋体" w:eastAsia="宋体" w:cs="宋体"/>
          <w:b/>
          <w:bCs/>
          <w:spacing w:val="8"/>
          <w:sz w:val="24"/>
          <w:szCs w:val="24"/>
        </w:rPr>
        <w:t>投标书</w:t>
      </w:r>
    </w:p>
    <w:p w14:paraId="38FB3A46">
      <w:pPr>
        <w:pStyle w:val="2"/>
        <w:spacing w:before="250"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14:paraId="38D7D3FD">
      <w:pPr>
        <w:spacing w:line="249" w:lineRule="auto"/>
        <w:rPr>
          <w:rFonts w:hint="eastAsia" w:ascii="宋体" w:hAnsi="宋体" w:eastAsia="宋体" w:cs="宋体"/>
          <w:sz w:val="24"/>
          <w:szCs w:val="24"/>
        </w:rPr>
      </w:pPr>
    </w:p>
    <w:p w14:paraId="5BAF9BA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我方参加你方就</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（项目名称，项目编号/包号）组织的招标活动，并对此项目进行投标。</w:t>
      </w:r>
    </w:p>
    <w:p w14:paraId="4DE49E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1.我方已详细审查全部招标文件，自愿参与投标并承诺如下：</w:t>
      </w:r>
    </w:p>
    <w:p w14:paraId="143ABFA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（1）本投标有效期为自提交投标文件的截止之日起</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个日历日。</w:t>
      </w:r>
    </w:p>
    <w:p w14:paraId="7BBC3C8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（2）除合同条款及采购需求偏离表列出的偏离外，我方响应招标文件的全部要求</w:t>
      </w:r>
      <w:r>
        <w:rPr>
          <w:rFonts w:hint="eastAsia" w:ascii="宋体" w:hAnsi="宋体" w:eastAsia="宋体" w:cs="宋体"/>
          <w:spacing w:val="-5"/>
          <w:sz w:val="24"/>
          <w:szCs w:val="24"/>
        </w:rPr>
        <w:t>。</w:t>
      </w:r>
    </w:p>
    <w:p w14:paraId="63C4C6B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（3）我方已提供的全部文件资料是真实、准确的</w:t>
      </w:r>
      <w:r>
        <w:rPr>
          <w:rFonts w:hint="eastAsia" w:ascii="宋体" w:hAnsi="宋体" w:eastAsia="宋体" w:cs="宋体"/>
          <w:sz w:val="24"/>
          <w:szCs w:val="24"/>
        </w:rPr>
        <w:t>，并对此承担一切法律后果。</w:t>
      </w:r>
    </w:p>
    <w:p w14:paraId="01D5B88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（4）如我方中标，我方将在法律规定的期限内与你方签订合同，按照招标文件要</w:t>
      </w:r>
      <w:r>
        <w:rPr>
          <w:rFonts w:hint="eastAsia" w:ascii="宋体" w:hAnsi="宋体" w:eastAsia="宋体" w:cs="宋体"/>
          <w:sz w:val="24"/>
          <w:szCs w:val="24"/>
        </w:rPr>
        <w:t>求提交履约保证金，并在合同约定的期限内完成合同规定</w:t>
      </w:r>
      <w:r>
        <w:rPr>
          <w:rFonts w:hint="eastAsia" w:ascii="宋体" w:hAnsi="宋体" w:eastAsia="宋体" w:cs="宋体"/>
          <w:spacing w:val="-1"/>
          <w:sz w:val="24"/>
          <w:szCs w:val="24"/>
        </w:rPr>
        <w:t>的全部义务。</w:t>
      </w:r>
    </w:p>
    <w:p w14:paraId="552E02BB">
      <w:pPr>
        <w:pStyle w:val="2"/>
        <w:spacing w:before="2" w:line="195" w:lineRule="auto"/>
        <w:ind w:left="438"/>
        <w:rPr>
          <w:rFonts w:hint="eastAsia" w:ascii="宋体" w:hAnsi="宋体" w:eastAsia="宋体" w:cs="宋体"/>
          <w:sz w:val="24"/>
          <w:szCs w:val="24"/>
        </w:rPr>
      </w:pPr>
      <w:r>
        <w:rPr>
          <w:rFonts w:hint="eastAsia" w:ascii="宋体" w:hAnsi="宋体" w:eastAsia="宋体" w:cs="宋体"/>
          <w:sz w:val="24"/>
          <w:szCs w:val="24"/>
        </w:rPr>
        <w:t>2.其他补充条款（如有</w:t>
      </w:r>
      <w:r>
        <w:rPr>
          <w:rFonts w:hint="eastAsia" w:ascii="宋体" w:hAnsi="宋体" w:eastAsia="宋体" w:cs="宋体"/>
          <w:spacing w:val="-59"/>
          <w:sz w:val="24"/>
          <w:szCs w:val="24"/>
        </w:rPr>
        <w:t>）：</w:t>
      </w:r>
      <w:r>
        <w:rPr>
          <w:rFonts w:hint="eastAsia" w:ascii="宋体" w:hAnsi="宋体" w:eastAsia="宋体" w:cs="宋体"/>
          <w:spacing w:val="2"/>
          <w:sz w:val="24"/>
          <w:szCs w:val="24"/>
          <w:u w:val="single" w:color="auto"/>
        </w:rPr>
        <w:t xml:space="preserve">                  </w:t>
      </w:r>
      <w:r>
        <w:rPr>
          <w:rFonts w:hint="eastAsia" w:ascii="宋体" w:hAnsi="宋体" w:eastAsia="宋体" w:cs="宋体"/>
          <w:sz w:val="24"/>
          <w:szCs w:val="24"/>
        </w:rPr>
        <w:t>。</w:t>
      </w:r>
    </w:p>
    <w:p w14:paraId="58B21E92">
      <w:pPr>
        <w:pStyle w:val="2"/>
        <w:spacing w:before="185" w:line="201" w:lineRule="auto"/>
        <w:ind w:left="491"/>
        <w:rPr>
          <w:rFonts w:hint="eastAsia" w:ascii="宋体" w:hAnsi="宋体" w:eastAsia="宋体" w:cs="宋体"/>
          <w:sz w:val="24"/>
          <w:szCs w:val="24"/>
        </w:rPr>
      </w:pPr>
      <w:r>
        <w:rPr>
          <w:rFonts w:hint="eastAsia" w:ascii="宋体" w:hAnsi="宋体" w:eastAsia="宋体" w:cs="宋体"/>
          <w:spacing w:val="-1"/>
          <w:sz w:val="24"/>
          <w:szCs w:val="24"/>
        </w:rPr>
        <w:t>与本投标有关的一切正式往来信函请寄：</w:t>
      </w:r>
    </w:p>
    <w:p w14:paraId="34E9D216">
      <w:pPr>
        <w:spacing w:line="246" w:lineRule="auto"/>
        <w:rPr>
          <w:rFonts w:hint="eastAsia" w:ascii="宋体" w:hAnsi="宋体" w:eastAsia="宋体" w:cs="宋体"/>
          <w:sz w:val="24"/>
          <w:szCs w:val="24"/>
        </w:rPr>
      </w:pPr>
    </w:p>
    <w:p w14:paraId="6C05D169">
      <w:pPr>
        <w:spacing w:line="246" w:lineRule="auto"/>
        <w:rPr>
          <w:rFonts w:hint="eastAsia" w:ascii="宋体" w:hAnsi="宋体" w:eastAsia="宋体" w:cs="宋体"/>
          <w:sz w:val="24"/>
          <w:szCs w:val="24"/>
        </w:rPr>
      </w:pPr>
    </w:p>
    <w:p w14:paraId="03F69D18">
      <w:pPr>
        <w:pStyle w:val="2"/>
        <w:spacing w:before="103" w:line="200" w:lineRule="auto"/>
        <w:ind w:left="426"/>
        <w:rPr>
          <w:rFonts w:hint="eastAsia" w:ascii="宋体" w:hAnsi="宋体" w:eastAsia="宋体" w:cs="宋体"/>
          <w:sz w:val="24"/>
          <w:szCs w:val="24"/>
        </w:rPr>
      </w:pPr>
      <w:r>
        <w:rPr>
          <w:rFonts w:hint="eastAsia" w:ascii="宋体" w:hAnsi="宋体" w:eastAsia="宋体" w:cs="宋体"/>
          <w:spacing w:val="-1"/>
          <w:sz w:val="24"/>
          <w:szCs w:val="24"/>
        </w:rPr>
        <w:t>地址</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传真</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p>
    <w:p w14:paraId="69628D84">
      <w:pPr>
        <w:pStyle w:val="2"/>
        <w:spacing w:before="178" w:line="201" w:lineRule="auto"/>
        <w:ind w:left="447"/>
        <w:rPr>
          <w:rFonts w:hint="eastAsia" w:ascii="宋体" w:hAnsi="宋体" w:eastAsia="宋体" w:cs="宋体"/>
          <w:sz w:val="24"/>
          <w:szCs w:val="24"/>
        </w:rPr>
      </w:pPr>
      <w:r>
        <w:rPr>
          <w:rFonts w:hint="eastAsia" w:ascii="宋体" w:hAnsi="宋体" w:eastAsia="宋体" w:cs="宋体"/>
          <w:spacing w:val="-5"/>
          <w:sz w:val="24"/>
          <w:szCs w:val="24"/>
        </w:rPr>
        <w:t>电话</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5"/>
          <w:sz w:val="24"/>
          <w:szCs w:val="24"/>
        </w:rPr>
        <w:t xml:space="preserve">         电子函件</w:t>
      </w:r>
      <w:r>
        <w:rPr>
          <w:rFonts w:hint="eastAsia" w:ascii="宋体" w:hAnsi="宋体" w:eastAsia="宋体" w:cs="宋体"/>
          <w:sz w:val="24"/>
          <w:szCs w:val="24"/>
          <w:u w:val="single" w:color="auto"/>
        </w:rPr>
        <w:t xml:space="preserve">                </w:t>
      </w:r>
    </w:p>
    <w:p w14:paraId="5A02280F">
      <w:pPr>
        <w:spacing w:line="244" w:lineRule="auto"/>
        <w:rPr>
          <w:rFonts w:hint="eastAsia" w:ascii="宋体" w:hAnsi="宋体" w:eastAsia="宋体" w:cs="宋体"/>
          <w:sz w:val="24"/>
          <w:szCs w:val="24"/>
        </w:rPr>
      </w:pPr>
    </w:p>
    <w:p w14:paraId="366E0B0E">
      <w:pPr>
        <w:spacing w:line="244" w:lineRule="auto"/>
        <w:rPr>
          <w:rFonts w:hint="eastAsia" w:ascii="宋体" w:hAnsi="宋体" w:eastAsia="宋体" w:cs="宋体"/>
          <w:sz w:val="24"/>
          <w:szCs w:val="24"/>
        </w:rPr>
      </w:pPr>
    </w:p>
    <w:p w14:paraId="6A83818A">
      <w:pPr>
        <w:pStyle w:val="2"/>
        <w:spacing w:before="104" w:line="196" w:lineRule="auto"/>
        <w:ind w:left="42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z w:val="24"/>
          <w:szCs w:val="24"/>
          <w:u w:val="single" w:color="auto"/>
        </w:rPr>
        <w:t xml:space="preserve">                   </w:t>
      </w:r>
    </w:p>
    <w:p w14:paraId="53E94BA1">
      <w:pPr>
        <w:pStyle w:val="2"/>
        <w:spacing w:before="185" w:line="200" w:lineRule="auto"/>
        <w:ind w:left="47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07621CF3">
      <w:pPr>
        <w:spacing w:line="200" w:lineRule="auto"/>
        <w:rPr>
          <w:rFonts w:hint="eastAsia" w:ascii="宋体" w:hAnsi="宋体" w:eastAsia="宋体" w:cs="宋体"/>
          <w:sz w:val="24"/>
          <w:szCs w:val="24"/>
        </w:rPr>
        <w:sectPr>
          <w:headerReference r:id="rId24" w:type="default"/>
          <w:footerReference r:id="rId25" w:type="default"/>
          <w:pgSz w:w="11905" w:h="16838"/>
          <w:pgMar w:top="1361" w:right="1417" w:bottom="1247" w:left="1417" w:header="839" w:footer="884" w:gutter="0"/>
          <w:pgNumType w:fmt="numberInDash"/>
          <w:cols w:space="0" w:num="1"/>
          <w:rtlGutter w:val="0"/>
          <w:docGrid w:linePitch="0" w:charSpace="0"/>
        </w:sectPr>
      </w:pPr>
    </w:p>
    <w:p w14:paraId="72C0F013">
      <w:pPr>
        <w:pStyle w:val="2"/>
        <w:keepNext w:val="0"/>
        <w:keepLines w:val="0"/>
        <w:pageBreakBefore w:val="0"/>
        <w:widowControl/>
        <w:kinsoku w:val="0"/>
        <w:wordWrap/>
        <w:overflowPunct/>
        <w:topLinePunct w:val="0"/>
        <w:autoSpaceDE w:val="0"/>
        <w:autoSpaceDN w:val="0"/>
        <w:bidi w:val="0"/>
        <w:adjustRightInd w:val="0"/>
        <w:snapToGrid w:val="0"/>
        <w:spacing w:before="273" w:line="202" w:lineRule="auto"/>
        <w:ind w:left="28"/>
        <w:textAlignment w:val="baseline"/>
        <w:outlineLvl w:val="2"/>
        <w:rPr>
          <w:rFonts w:hint="eastAsia" w:ascii="宋体" w:hAnsi="宋体" w:eastAsia="宋体" w:cs="宋体"/>
          <w:sz w:val="24"/>
          <w:szCs w:val="24"/>
        </w:rPr>
      </w:pPr>
      <w:bookmarkStart w:id="155" w:name="_Toc5073"/>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授权委托书（实质性格式）</w:t>
      </w:r>
      <w:bookmarkEnd w:id="155"/>
    </w:p>
    <w:p w14:paraId="1BFAD085">
      <w:pPr>
        <w:pStyle w:val="2"/>
        <w:spacing w:before="111" w:line="205" w:lineRule="auto"/>
        <w:ind w:left="3638"/>
        <w:rPr>
          <w:rFonts w:hint="eastAsia" w:ascii="宋体" w:hAnsi="宋体" w:eastAsia="宋体" w:cs="宋体"/>
          <w:sz w:val="24"/>
          <w:szCs w:val="24"/>
        </w:rPr>
      </w:pPr>
      <w:r>
        <w:rPr>
          <w:rFonts w:hint="eastAsia" w:ascii="宋体" w:hAnsi="宋体" w:eastAsia="宋体" w:cs="宋体"/>
          <w:b/>
          <w:bCs/>
          <w:spacing w:val="9"/>
          <w:sz w:val="24"/>
          <w:szCs w:val="24"/>
        </w:rPr>
        <w:t>授权委托书</w:t>
      </w:r>
    </w:p>
    <w:p w14:paraId="4F5BA00D">
      <w:pPr>
        <w:pStyle w:val="2"/>
        <w:spacing w:before="339" w:line="304" w:lineRule="auto"/>
        <w:ind w:left="4" w:firstLine="420"/>
        <w:jc w:val="both"/>
        <w:rPr>
          <w:rFonts w:hint="eastAsia" w:ascii="宋体" w:hAnsi="宋体" w:eastAsia="宋体" w:cs="宋体"/>
          <w:sz w:val="24"/>
          <w:szCs w:val="24"/>
        </w:rPr>
      </w:pPr>
      <w:r>
        <w:rPr>
          <w:rFonts w:hint="eastAsia" w:ascii="宋体" w:hAnsi="宋体" w:eastAsia="宋体" w:cs="宋体"/>
          <w:spacing w:val="-2"/>
          <w:sz w:val="24"/>
          <w:szCs w:val="24"/>
        </w:rPr>
        <w:t>本人</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（姓名</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）系</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（投标人名称）的法定代表人（单位负责</w:t>
      </w:r>
      <w:r>
        <w:rPr>
          <w:rFonts w:hint="eastAsia" w:ascii="宋体" w:hAnsi="宋体" w:eastAsia="宋体" w:cs="宋体"/>
          <w:spacing w:val="-1"/>
          <w:sz w:val="24"/>
          <w:szCs w:val="24"/>
        </w:rPr>
        <w:t>人</w:t>
      </w:r>
      <w:r>
        <w:rPr>
          <w:rFonts w:hint="eastAsia" w:ascii="宋体" w:hAnsi="宋体" w:eastAsia="宋体" w:cs="宋体"/>
          <w:spacing w:val="-57"/>
          <w:sz w:val="24"/>
          <w:szCs w:val="24"/>
        </w:rPr>
        <w:t>），</w:t>
      </w:r>
      <w:r>
        <w:rPr>
          <w:rFonts w:hint="eastAsia" w:ascii="宋体" w:hAnsi="宋体" w:eastAsia="宋体" w:cs="宋体"/>
          <w:spacing w:val="-1"/>
          <w:sz w:val="24"/>
          <w:szCs w:val="24"/>
        </w:rPr>
        <w:t>现委托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（姓名）为我方代理人。代理人根据授权</w:t>
      </w:r>
      <w:r>
        <w:rPr>
          <w:rFonts w:hint="eastAsia" w:ascii="宋体" w:hAnsi="宋体" w:eastAsia="宋体" w:cs="宋体"/>
          <w:spacing w:val="-28"/>
          <w:sz w:val="24"/>
          <w:szCs w:val="24"/>
        </w:rPr>
        <w:t xml:space="preserve"> </w:t>
      </w:r>
      <w:r>
        <w:rPr>
          <w:rFonts w:hint="eastAsia" w:ascii="宋体" w:hAnsi="宋体" w:eastAsia="宋体" w:cs="宋体"/>
          <w:spacing w:val="-1"/>
          <w:sz w:val="24"/>
          <w:szCs w:val="24"/>
        </w:rPr>
        <w:t>，以我方名义签署、澄清确认、提交、撤回、修改</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（项目名称）投标文件和处理有关事宜，其法律后果由我方承担。</w:t>
      </w:r>
    </w:p>
    <w:p w14:paraId="13A76F28">
      <w:pPr>
        <w:pStyle w:val="2"/>
        <w:spacing w:line="200" w:lineRule="auto"/>
        <w:ind w:left="428"/>
        <w:rPr>
          <w:rFonts w:hint="eastAsia" w:ascii="宋体" w:hAnsi="宋体" w:eastAsia="宋体" w:cs="宋体"/>
          <w:sz w:val="24"/>
          <w:szCs w:val="24"/>
        </w:rPr>
      </w:pPr>
      <w:r>
        <w:rPr>
          <w:rFonts w:hint="eastAsia" w:ascii="宋体" w:hAnsi="宋体" w:eastAsia="宋体" w:cs="宋体"/>
          <w:spacing w:val="-2"/>
          <w:sz w:val="24"/>
          <w:szCs w:val="24"/>
        </w:rPr>
        <w:t>委托期限：自本授权委托书签署之日起至投标有效期届满之日止。</w:t>
      </w:r>
    </w:p>
    <w:p w14:paraId="266BA3F1">
      <w:pPr>
        <w:pStyle w:val="2"/>
        <w:spacing w:before="179" w:line="201" w:lineRule="auto"/>
        <w:ind w:left="424"/>
        <w:rPr>
          <w:rFonts w:hint="eastAsia" w:ascii="宋体" w:hAnsi="宋体" w:eastAsia="宋体" w:cs="宋体"/>
          <w:sz w:val="24"/>
          <w:szCs w:val="24"/>
        </w:rPr>
      </w:pPr>
      <w:r>
        <w:rPr>
          <w:rFonts w:hint="eastAsia" w:ascii="宋体" w:hAnsi="宋体" w:eastAsia="宋体" w:cs="宋体"/>
          <w:spacing w:val="-1"/>
          <w:sz w:val="24"/>
          <w:szCs w:val="24"/>
        </w:rPr>
        <w:t>代理人无转委托权。</w:t>
      </w:r>
    </w:p>
    <w:p w14:paraId="08EC44B7">
      <w:pPr>
        <w:spacing w:line="245" w:lineRule="auto"/>
        <w:rPr>
          <w:rFonts w:hint="eastAsia" w:ascii="宋体" w:hAnsi="宋体" w:eastAsia="宋体" w:cs="宋体"/>
          <w:sz w:val="24"/>
          <w:szCs w:val="24"/>
        </w:rPr>
      </w:pPr>
    </w:p>
    <w:p w14:paraId="508DA96D">
      <w:pPr>
        <w:spacing w:line="245" w:lineRule="auto"/>
        <w:rPr>
          <w:rFonts w:hint="eastAsia" w:ascii="宋体" w:hAnsi="宋体" w:eastAsia="宋体" w:cs="宋体"/>
          <w:sz w:val="24"/>
          <w:szCs w:val="24"/>
        </w:rPr>
      </w:pPr>
    </w:p>
    <w:p w14:paraId="70306D17">
      <w:pPr>
        <w:pStyle w:val="2"/>
        <w:spacing w:before="103"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76AE5A51">
      <w:pPr>
        <w:pStyle w:val="2"/>
        <w:spacing w:before="184" w:line="196" w:lineRule="auto"/>
        <w:ind w:left="6"/>
        <w:rPr>
          <w:rFonts w:hint="eastAsia" w:ascii="宋体" w:hAnsi="宋体" w:eastAsia="宋体" w:cs="宋体"/>
          <w:sz w:val="24"/>
          <w:szCs w:val="24"/>
        </w:rPr>
      </w:pPr>
      <w:r>
        <w:rPr>
          <w:rFonts w:hint="eastAsia" w:ascii="宋体" w:hAnsi="宋体" w:eastAsia="宋体" w:cs="宋体"/>
          <w:spacing w:val="3"/>
          <w:sz w:val="24"/>
          <w:szCs w:val="24"/>
        </w:rPr>
        <w:t>法定代表人（单位负责人</w:t>
      </w:r>
      <w:r>
        <w:rPr>
          <w:rFonts w:hint="eastAsia" w:ascii="宋体" w:hAnsi="宋体" w:eastAsia="宋体" w:cs="宋体"/>
          <w:spacing w:val="-49"/>
          <w:w w:val="89"/>
          <w:sz w:val="24"/>
          <w:szCs w:val="24"/>
        </w:rPr>
        <w:t>）（</w:t>
      </w:r>
      <w:r>
        <w:rPr>
          <w:rFonts w:hint="eastAsia" w:ascii="宋体" w:hAnsi="宋体" w:eastAsia="宋体" w:cs="宋体"/>
          <w:spacing w:val="3"/>
          <w:sz w:val="24"/>
          <w:szCs w:val="24"/>
        </w:rPr>
        <w:t>签字或签章</w:t>
      </w:r>
      <w:r>
        <w:rPr>
          <w:rFonts w:hint="eastAsia" w:ascii="宋体" w:hAnsi="宋体" w:eastAsia="宋体" w:cs="宋体"/>
          <w:spacing w:val="-49"/>
          <w:w w:val="89"/>
          <w:sz w:val="24"/>
          <w:szCs w:val="24"/>
        </w:rPr>
        <w:t>）：</w:t>
      </w:r>
      <w:r>
        <w:rPr>
          <w:rFonts w:hint="eastAsia" w:ascii="宋体" w:hAnsi="宋体" w:eastAsia="宋体" w:cs="宋体"/>
          <w:sz w:val="24"/>
          <w:szCs w:val="24"/>
          <w:u w:val="single" w:color="auto"/>
        </w:rPr>
        <w:t xml:space="preserve">                            </w:t>
      </w:r>
    </w:p>
    <w:p w14:paraId="56E78BC5">
      <w:pPr>
        <w:pStyle w:val="2"/>
        <w:spacing w:before="187" w:line="196" w:lineRule="auto"/>
        <w:ind w:left="8"/>
        <w:rPr>
          <w:rFonts w:hint="eastAsia" w:ascii="宋体" w:hAnsi="宋体" w:eastAsia="宋体" w:cs="宋体"/>
          <w:sz w:val="24"/>
          <w:szCs w:val="24"/>
        </w:rPr>
      </w:pPr>
      <w:r>
        <w:rPr>
          <w:rFonts w:hint="eastAsia" w:ascii="宋体" w:hAnsi="宋体" w:eastAsia="宋体" w:cs="宋体"/>
          <w:spacing w:val="-1"/>
          <w:sz w:val="24"/>
          <w:szCs w:val="24"/>
        </w:rPr>
        <w:t>委托代理人（签字或签章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611B050E">
      <w:pPr>
        <w:pStyle w:val="2"/>
        <w:spacing w:before="185"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0A631DAA">
      <w:pPr>
        <w:spacing w:line="245" w:lineRule="auto"/>
        <w:rPr>
          <w:rFonts w:hint="eastAsia" w:ascii="宋体" w:hAnsi="宋体" w:eastAsia="宋体" w:cs="宋体"/>
          <w:sz w:val="24"/>
          <w:szCs w:val="24"/>
        </w:rPr>
      </w:pPr>
    </w:p>
    <w:p w14:paraId="4D2B8512">
      <w:pPr>
        <w:spacing w:line="246" w:lineRule="auto"/>
        <w:rPr>
          <w:rFonts w:hint="eastAsia" w:ascii="宋体" w:hAnsi="宋体" w:eastAsia="宋体" w:cs="宋体"/>
          <w:sz w:val="24"/>
          <w:szCs w:val="24"/>
        </w:rPr>
      </w:pPr>
    </w:p>
    <w:p w14:paraId="44B06F01">
      <w:pPr>
        <w:pStyle w:val="2"/>
        <w:spacing w:before="103"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附：法定代表人（单位负责人）及委托代理人身份证明文件电子件：</w:t>
      </w:r>
    </w:p>
    <w:p w14:paraId="017384F4">
      <w:pPr>
        <w:rPr>
          <w:rFonts w:hint="eastAsia" w:ascii="宋体" w:hAnsi="宋体" w:eastAsia="宋体" w:cs="宋体"/>
          <w:sz w:val="24"/>
          <w:szCs w:val="24"/>
        </w:rPr>
      </w:pPr>
    </w:p>
    <w:p w14:paraId="09F99A8F">
      <w:pPr>
        <w:rPr>
          <w:rFonts w:hint="eastAsia" w:ascii="宋体" w:hAnsi="宋体" w:eastAsia="宋体" w:cs="宋体"/>
          <w:sz w:val="24"/>
          <w:szCs w:val="24"/>
        </w:rPr>
      </w:pPr>
    </w:p>
    <w:p w14:paraId="647CBB3F">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说明：</w:t>
      </w:r>
    </w:p>
    <w:p w14:paraId="4ECAE90E">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1.若供应商为事业单位或其他组织或分支机构，则法定代表人（单位负责人）处的签署人可为单位负责人。</w:t>
      </w:r>
    </w:p>
    <w:p w14:paraId="7D83076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2.若投标文件中签字之处均为法定代表人（单位负责人）本人签署，则可不提供本《授</w:t>
      </w:r>
      <w:r>
        <w:rPr>
          <w:rFonts w:hint="eastAsia" w:ascii="宋体" w:hAnsi="宋体" w:eastAsia="宋体" w:cs="宋体"/>
          <w:spacing w:val="-8"/>
          <w:sz w:val="24"/>
          <w:szCs w:val="24"/>
        </w:rPr>
        <w:t>权委托</w:t>
      </w:r>
      <w:r>
        <w:rPr>
          <w:rFonts w:hint="eastAsia" w:ascii="宋体" w:hAnsi="宋体" w:eastAsia="宋体" w:cs="宋体"/>
          <w:spacing w:val="-7"/>
          <w:sz w:val="24"/>
          <w:szCs w:val="24"/>
        </w:rPr>
        <w:t>书》，但须提供《法定代表人（单位</w:t>
      </w:r>
      <w:r>
        <w:rPr>
          <w:rFonts w:hint="eastAsia" w:ascii="宋体" w:hAnsi="宋体" w:eastAsia="宋体" w:cs="宋体"/>
          <w:spacing w:val="-8"/>
          <w:sz w:val="24"/>
          <w:szCs w:val="24"/>
        </w:rPr>
        <w:t>负责人）身份证明》；否则，不需要提供《</w:t>
      </w:r>
      <w:r>
        <w:rPr>
          <w:rFonts w:hint="eastAsia" w:ascii="宋体" w:hAnsi="宋体" w:eastAsia="宋体" w:cs="宋体"/>
          <w:spacing w:val="-5"/>
          <w:sz w:val="24"/>
          <w:szCs w:val="24"/>
        </w:rPr>
        <w:t>法</w:t>
      </w:r>
      <w:r>
        <w:rPr>
          <w:rFonts w:hint="eastAsia" w:ascii="宋体" w:hAnsi="宋体" w:eastAsia="宋体" w:cs="宋体"/>
          <w:spacing w:val="-7"/>
          <w:sz w:val="24"/>
          <w:szCs w:val="24"/>
        </w:rPr>
        <w:t>定代表人（单位负责人）身份证明》。</w:t>
      </w:r>
    </w:p>
    <w:p w14:paraId="7F9B495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60" w:firstLineChars="200"/>
        <w:textAlignment w:val="baseline"/>
        <w:rPr>
          <w:rFonts w:hint="eastAsia" w:ascii="宋体" w:hAnsi="宋体" w:eastAsia="宋体" w:cs="宋体"/>
          <w:sz w:val="24"/>
          <w:szCs w:val="24"/>
        </w:rPr>
      </w:pPr>
      <w:r>
        <w:rPr>
          <w:rFonts w:hint="eastAsia" w:ascii="宋体" w:hAnsi="宋体" w:eastAsia="宋体" w:cs="宋体"/>
          <w:spacing w:val="-5"/>
          <w:sz w:val="24"/>
          <w:szCs w:val="24"/>
        </w:rPr>
        <w:t>3.供应商为自然人的情形，可不提供本《授权委</w:t>
      </w:r>
      <w:r>
        <w:rPr>
          <w:rFonts w:hint="eastAsia" w:ascii="宋体" w:hAnsi="宋体" w:eastAsia="宋体" w:cs="宋体"/>
          <w:spacing w:val="-6"/>
          <w:sz w:val="24"/>
          <w:szCs w:val="24"/>
        </w:rPr>
        <w:t>托书》。</w:t>
      </w:r>
    </w:p>
    <w:p w14:paraId="663F59B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rPr>
        <w:t>份证的，应同时提供身份证</w:t>
      </w:r>
      <w:r>
        <w:rPr>
          <w:rFonts w:hint="eastAsia" w:ascii="宋体" w:hAnsi="宋体" w:eastAsia="宋体" w:cs="宋体"/>
          <w:b/>
          <w:bCs/>
          <w:spacing w:val="-2"/>
          <w:sz w:val="24"/>
          <w:szCs w:val="24"/>
        </w:rPr>
        <w:t>双面</w:t>
      </w:r>
      <w:r>
        <w:rPr>
          <w:rFonts w:hint="eastAsia" w:ascii="宋体" w:hAnsi="宋体" w:eastAsia="宋体" w:cs="宋体"/>
          <w:spacing w:val="-2"/>
          <w:sz w:val="24"/>
          <w:szCs w:val="24"/>
        </w:rPr>
        <w:t>电子</w:t>
      </w:r>
      <w:r>
        <w:rPr>
          <w:rFonts w:hint="eastAsia" w:ascii="宋体" w:hAnsi="宋体" w:eastAsia="宋体" w:cs="宋体"/>
          <w:spacing w:val="-3"/>
          <w:sz w:val="24"/>
          <w:szCs w:val="24"/>
        </w:rPr>
        <w:t>件。</w:t>
      </w:r>
    </w:p>
    <w:p w14:paraId="15706F55">
      <w:pPr>
        <w:spacing w:line="314" w:lineRule="auto"/>
        <w:rPr>
          <w:rFonts w:hint="eastAsia" w:ascii="宋体" w:hAnsi="宋体" w:eastAsia="宋体" w:cs="宋体"/>
          <w:sz w:val="24"/>
          <w:szCs w:val="24"/>
        </w:rPr>
        <w:sectPr>
          <w:footerReference r:id="rId26" w:type="default"/>
          <w:pgSz w:w="11905" w:h="16838"/>
          <w:pgMar w:top="1361" w:right="1417" w:bottom="1247" w:left="1417" w:header="839" w:footer="884" w:gutter="0"/>
          <w:pgNumType w:fmt="numberInDash"/>
          <w:cols w:space="0" w:num="1"/>
          <w:rtlGutter w:val="0"/>
          <w:docGrid w:linePitch="0" w:charSpace="0"/>
        </w:sectPr>
      </w:pPr>
    </w:p>
    <w:p w14:paraId="5D7CB6DA">
      <w:pPr>
        <w:pStyle w:val="2"/>
        <w:spacing w:before="199" w:line="201" w:lineRule="auto"/>
        <w:ind w:left="0" w:leftChars="0" w:firstLine="0" w:firstLineChars="0"/>
        <w:jc w:val="center"/>
        <w:rPr>
          <w:rFonts w:hint="eastAsia" w:ascii="宋体" w:hAnsi="宋体" w:eastAsia="宋体" w:cs="宋体"/>
          <w:sz w:val="24"/>
          <w:szCs w:val="24"/>
        </w:rPr>
      </w:pPr>
      <w:r>
        <w:rPr>
          <w:rFonts w:hint="eastAsia" w:ascii="宋体" w:hAnsi="宋体" w:eastAsia="宋体" w:cs="宋体"/>
          <w:b/>
          <w:bCs/>
          <w:spacing w:val="10"/>
          <w:sz w:val="24"/>
          <w:szCs w:val="24"/>
        </w:rPr>
        <w:t>法定代表人（单位负责人）身份证明</w:t>
      </w:r>
    </w:p>
    <w:p w14:paraId="2D126BC8">
      <w:pPr>
        <w:pStyle w:val="2"/>
        <w:spacing w:before="132" w:line="196" w:lineRule="auto"/>
        <w:ind w:left="4"/>
        <w:rPr>
          <w:rFonts w:hint="eastAsia" w:ascii="宋体" w:hAnsi="宋体" w:eastAsia="宋体" w:cs="宋体"/>
          <w:spacing w:val="5"/>
          <w:sz w:val="24"/>
          <w:szCs w:val="24"/>
        </w:rPr>
      </w:pPr>
    </w:p>
    <w:p w14:paraId="742C8A42">
      <w:pPr>
        <w:pStyle w:val="2"/>
        <w:spacing w:before="132" w:line="196" w:lineRule="auto"/>
        <w:ind w:left="4"/>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u w:val="single" w:color="auto"/>
        </w:rPr>
        <w:t>（</w:t>
      </w:r>
      <w:r>
        <w:rPr>
          <w:rFonts w:hint="eastAsia" w:ascii="宋体" w:hAnsi="宋体" w:eastAsia="宋体" w:cs="宋体"/>
          <w:spacing w:val="5"/>
          <w:sz w:val="24"/>
          <w:szCs w:val="24"/>
          <w:u w:val="single" w:color="auto"/>
        </w:rPr>
        <w:t>采购人或采购代理机构）</w:t>
      </w:r>
    </w:p>
    <w:p w14:paraId="5CC4CD68">
      <w:pPr>
        <w:pStyle w:val="2"/>
        <w:spacing w:before="317" w:line="200" w:lineRule="auto"/>
        <w:ind w:left="485"/>
        <w:rPr>
          <w:rFonts w:hint="eastAsia" w:ascii="宋体" w:hAnsi="宋体" w:eastAsia="宋体" w:cs="宋体"/>
          <w:sz w:val="24"/>
          <w:szCs w:val="24"/>
        </w:rPr>
      </w:pPr>
      <w:r>
        <w:rPr>
          <w:rFonts w:hint="eastAsia" w:ascii="宋体" w:hAnsi="宋体" w:eastAsia="宋体" w:cs="宋体"/>
          <w:spacing w:val="-2"/>
          <w:sz w:val="24"/>
          <w:szCs w:val="24"/>
        </w:rPr>
        <w:t>兹证明，</w:t>
      </w:r>
    </w:p>
    <w:p w14:paraId="0B10844E">
      <w:pPr>
        <w:pStyle w:val="2"/>
        <w:spacing w:before="112" w:line="200" w:lineRule="auto"/>
        <w:ind w:left="7"/>
        <w:rPr>
          <w:rFonts w:hint="eastAsia" w:ascii="宋体" w:hAnsi="宋体" w:eastAsia="宋体" w:cs="宋体"/>
          <w:sz w:val="24"/>
          <w:szCs w:val="24"/>
        </w:rPr>
      </w:pPr>
      <w:r>
        <w:rPr>
          <w:rFonts w:hint="eastAsia" w:ascii="宋体" w:hAnsi="宋体" w:eastAsia="宋体" w:cs="宋体"/>
          <w:spacing w:val="-3"/>
          <w:sz w:val="24"/>
          <w:szCs w:val="24"/>
        </w:rPr>
        <w:t>姓名：</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性别：</w:t>
      </w:r>
      <w:r>
        <w:rPr>
          <w:rFonts w:hint="eastAsia" w:ascii="宋体" w:hAnsi="宋体" w:eastAsia="宋体" w:cs="宋体"/>
          <w:spacing w:val="9"/>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9"/>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3"/>
          <w:sz w:val="24"/>
          <w:szCs w:val="24"/>
          <w:u w:val="single" w:color="auto"/>
        </w:rPr>
        <w:t xml:space="preserve">       </w:t>
      </w:r>
    </w:p>
    <w:p w14:paraId="3637682D">
      <w:pPr>
        <w:spacing w:line="459" w:lineRule="auto"/>
        <w:rPr>
          <w:rFonts w:hint="eastAsia" w:ascii="宋体" w:hAnsi="宋体" w:eastAsia="宋体" w:cs="宋体"/>
          <w:sz w:val="24"/>
          <w:szCs w:val="24"/>
        </w:rPr>
      </w:pPr>
    </w:p>
    <w:p w14:paraId="717DD35D">
      <w:pPr>
        <w:pStyle w:val="2"/>
        <w:spacing w:before="104" w:line="196" w:lineRule="auto"/>
        <w:ind w:left="14"/>
        <w:rPr>
          <w:rFonts w:hint="eastAsia" w:ascii="宋体" w:hAnsi="宋体" w:eastAsia="宋体" w:cs="宋体"/>
          <w:sz w:val="24"/>
          <w:szCs w:val="24"/>
        </w:rPr>
      </w:pPr>
      <w:r>
        <w:rPr>
          <w:rFonts w:hint="eastAsia" w:ascii="宋体" w:hAnsi="宋体" w:eastAsia="宋体" w:cs="宋体"/>
          <w:spacing w:val="-6"/>
          <w:sz w:val="24"/>
          <w:szCs w:val="24"/>
        </w:rPr>
        <w:t>系</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
          <w:sz w:val="24"/>
          <w:szCs w:val="24"/>
        </w:rPr>
        <w:t>（投标人名称）的法定代表人（单位负责人）。</w:t>
      </w:r>
    </w:p>
    <w:p w14:paraId="40BB58D1">
      <w:pPr>
        <w:spacing w:line="455" w:lineRule="auto"/>
        <w:rPr>
          <w:rFonts w:hint="eastAsia" w:ascii="宋体" w:hAnsi="宋体" w:eastAsia="宋体" w:cs="宋体"/>
          <w:sz w:val="24"/>
          <w:szCs w:val="24"/>
        </w:rPr>
      </w:pPr>
    </w:p>
    <w:p w14:paraId="55794A61">
      <w:pPr>
        <w:pStyle w:val="2"/>
        <w:spacing w:before="103" w:line="196" w:lineRule="auto"/>
        <w:ind w:left="20"/>
        <w:rPr>
          <w:rFonts w:hint="eastAsia" w:ascii="宋体" w:hAnsi="宋体" w:eastAsia="宋体" w:cs="宋体"/>
          <w:sz w:val="24"/>
          <w:szCs w:val="24"/>
        </w:rPr>
      </w:pPr>
      <w:r>
        <w:rPr>
          <w:rFonts w:hint="eastAsia" w:ascii="宋体" w:hAnsi="宋体" w:eastAsia="宋体" w:cs="宋体"/>
          <w:spacing w:val="-1"/>
          <w:sz w:val="24"/>
          <w:szCs w:val="24"/>
        </w:rPr>
        <w:t>附：法定代表人（单位负责人）身份证或护照等身份证明文件电子件：</w:t>
      </w:r>
    </w:p>
    <w:p w14:paraId="1423FB75">
      <w:pPr>
        <w:spacing w:line="299" w:lineRule="auto"/>
        <w:rPr>
          <w:rFonts w:hint="eastAsia" w:ascii="宋体" w:hAnsi="宋体" w:eastAsia="宋体" w:cs="宋体"/>
          <w:sz w:val="24"/>
          <w:szCs w:val="24"/>
        </w:rPr>
      </w:pPr>
    </w:p>
    <w:p w14:paraId="027BDE5B">
      <w:pPr>
        <w:spacing w:line="299" w:lineRule="auto"/>
        <w:rPr>
          <w:rFonts w:hint="eastAsia" w:ascii="宋体" w:hAnsi="宋体" w:eastAsia="宋体" w:cs="宋体"/>
          <w:sz w:val="24"/>
          <w:szCs w:val="24"/>
        </w:rPr>
      </w:pPr>
    </w:p>
    <w:p w14:paraId="182DB261">
      <w:pPr>
        <w:spacing w:line="299" w:lineRule="auto"/>
        <w:rPr>
          <w:rFonts w:hint="eastAsia" w:ascii="宋体" w:hAnsi="宋体" w:eastAsia="宋体" w:cs="宋体"/>
          <w:sz w:val="24"/>
          <w:szCs w:val="24"/>
        </w:rPr>
      </w:pPr>
    </w:p>
    <w:p w14:paraId="680E80D7">
      <w:pPr>
        <w:spacing w:line="300" w:lineRule="auto"/>
        <w:rPr>
          <w:rFonts w:hint="eastAsia" w:ascii="宋体" w:hAnsi="宋体" w:eastAsia="宋体" w:cs="宋体"/>
          <w:sz w:val="24"/>
          <w:szCs w:val="24"/>
        </w:rPr>
      </w:pPr>
    </w:p>
    <w:p w14:paraId="5A2A4F6F">
      <w:pPr>
        <w:pStyle w:val="2"/>
        <w:spacing w:before="1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5B66FA69">
      <w:pPr>
        <w:pStyle w:val="2"/>
        <w:spacing w:before="3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法定代表人（单位负责人</w:t>
      </w:r>
      <w:r>
        <w:rPr>
          <w:rFonts w:hint="eastAsia" w:ascii="宋体" w:hAnsi="宋体" w:eastAsia="宋体" w:cs="宋体"/>
          <w:spacing w:val="-47"/>
          <w:w w:val="86"/>
          <w:sz w:val="24"/>
          <w:szCs w:val="24"/>
        </w:rPr>
        <w:t>）（</w:t>
      </w:r>
      <w:r>
        <w:rPr>
          <w:rFonts w:hint="eastAsia" w:ascii="宋体" w:hAnsi="宋体" w:eastAsia="宋体" w:cs="宋体"/>
          <w:spacing w:val="-1"/>
          <w:sz w:val="24"/>
          <w:szCs w:val="24"/>
        </w:rPr>
        <w:t>签字或签章</w:t>
      </w:r>
      <w:r>
        <w:rPr>
          <w:rFonts w:hint="eastAsia" w:ascii="宋体" w:hAnsi="宋体" w:eastAsia="宋体" w:cs="宋体"/>
          <w:spacing w:val="-47"/>
          <w:w w:val="86"/>
          <w:sz w:val="24"/>
          <w:szCs w:val="24"/>
        </w:rPr>
        <w:t>）：</w:t>
      </w:r>
      <w:r>
        <w:rPr>
          <w:rFonts w:hint="eastAsia" w:ascii="宋体" w:hAnsi="宋体" w:eastAsia="宋体" w:cs="宋体"/>
          <w:sz w:val="24"/>
          <w:szCs w:val="24"/>
          <w:u w:val="single" w:color="auto"/>
        </w:rPr>
        <w:t xml:space="preserve">            </w:t>
      </w:r>
    </w:p>
    <w:p w14:paraId="589C1087">
      <w:pPr>
        <w:spacing w:line="272" w:lineRule="auto"/>
        <w:rPr>
          <w:rFonts w:hint="eastAsia" w:ascii="宋体" w:hAnsi="宋体" w:eastAsia="宋体" w:cs="宋体"/>
          <w:sz w:val="24"/>
          <w:szCs w:val="24"/>
        </w:rPr>
      </w:pPr>
    </w:p>
    <w:p w14:paraId="1C75B23D">
      <w:pPr>
        <w:spacing w:line="273" w:lineRule="auto"/>
        <w:rPr>
          <w:rFonts w:hint="eastAsia" w:ascii="宋体" w:hAnsi="宋体" w:eastAsia="宋体" w:cs="宋体"/>
          <w:sz w:val="24"/>
          <w:szCs w:val="24"/>
        </w:rPr>
      </w:pPr>
    </w:p>
    <w:p w14:paraId="3A3CF215">
      <w:pPr>
        <w:spacing w:line="273" w:lineRule="auto"/>
        <w:rPr>
          <w:rFonts w:hint="eastAsia" w:ascii="宋体" w:hAnsi="宋体" w:eastAsia="宋体" w:cs="宋体"/>
          <w:sz w:val="24"/>
          <w:szCs w:val="24"/>
        </w:rPr>
      </w:pPr>
    </w:p>
    <w:p w14:paraId="7A0C70B3">
      <w:pPr>
        <w:pStyle w:val="2"/>
        <w:spacing w:before="104"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5"/>
          <w:sz w:val="24"/>
          <w:szCs w:val="24"/>
        </w:rPr>
        <w:t xml:space="preserve"> </w:t>
      </w:r>
      <w:r>
        <w:rPr>
          <w:rFonts w:hint="eastAsia" w:ascii="宋体" w:hAnsi="宋体" w:eastAsia="宋体" w:cs="宋体"/>
          <w:spacing w:val="-13"/>
          <w:sz w:val="24"/>
          <w:szCs w:val="24"/>
        </w:rPr>
        <w:t>日</w:t>
      </w:r>
    </w:p>
    <w:p w14:paraId="7D8C78E6">
      <w:pPr>
        <w:spacing w:line="200" w:lineRule="auto"/>
        <w:rPr>
          <w:rFonts w:hint="eastAsia" w:ascii="宋体" w:hAnsi="宋体" w:eastAsia="宋体" w:cs="宋体"/>
          <w:sz w:val="24"/>
          <w:szCs w:val="24"/>
        </w:rPr>
        <w:sectPr>
          <w:footerReference r:id="rId27" w:type="default"/>
          <w:pgSz w:w="11905" w:h="16838"/>
          <w:pgMar w:top="1361" w:right="1417" w:bottom="1247" w:left="1417" w:header="839" w:footer="884" w:gutter="0"/>
          <w:pgNumType w:fmt="numberInDash"/>
          <w:cols w:space="0" w:num="1"/>
          <w:rtlGutter w:val="0"/>
          <w:docGrid w:linePitch="0" w:charSpace="0"/>
        </w:sectPr>
      </w:pPr>
    </w:p>
    <w:p w14:paraId="0924583C">
      <w:pPr>
        <w:pStyle w:val="2"/>
        <w:keepNext w:val="0"/>
        <w:keepLines w:val="0"/>
        <w:pageBreakBefore w:val="0"/>
        <w:widowControl/>
        <w:kinsoku w:val="0"/>
        <w:wordWrap/>
        <w:overflowPunct/>
        <w:topLinePunct w:val="0"/>
        <w:autoSpaceDE w:val="0"/>
        <w:autoSpaceDN w:val="0"/>
        <w:bidi w:val="0"/>
        <w:adjustRightInd w:val="0"/>
        <w:snapToGrid w:val="0"/>
        <w:spacing w:before="273" w:line="202" w:lineRule="auto"/>
        <w:ind w:left="28"/>
        <w:textAlignment w:val="baseline"/>
        <w:outlineLvl w:val="2"/>
        <w:rPr>
          <w:rFonts w:hint="eastAsia" w:ascii="宋体" w:hAnsi="宋体" w:eastAsia="宋体" w:cs="宋体"/>
          <w:sz w:val="24"/>
          <w:szCs w:val="24"/>
        </w:rPr>
      </w:pPr>
      <w:bookmarkStart w:id="156" w:name="_Toc20016"/>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开标一览表（实质性格式）</w:t>
      </w:r>
      <w:bookmarkEnd w:id="156"/>
    </w:p>
    <w:p w14:paraId="7A4DF773">
      <w:pPr>
        <w:pStyle w:val="2"/>
        <w:spacing w:before="111" w:line="205" w:lineRule="auto"/>
        <w:ind w:left="3645"/>
        <w:rPr>
          <w:rFonts w:hint="eastAsia" w:ascii="宋体" w:hAnsi="宋体" w:eastAsia="宋体" w:cs="宋体"/>
          <w:sz w:val="24"/>
          <w:szCs w:val="24"/>
        </w:rPr>
      </w:pPr>
      <w:r>
        <w:rPr>
          <w:rFonts w:hint="eastAsia" w:ascii="宋体" w:hAnsi="宋体" w:eastAsia="宋体" w:cs="宋体"/>
          <w:b/>
          <w:bCs/>
          <w:spacing w:val="8"/>
          <w:sz w:val="24"/>
          <w:szCs w:val="24"/>
        </w:rPr>
        <w:t>开标一览表</w:t>
      </w:r>
    </w:p>
    <w:p w14:paraId="07494274">
      <w:pPr>
        <w:pStyle w:val="2"/>
        <w:spacing w:before="181" w:line="200" w:lineRule="auto"/>
        <w:ind w:left="245"/>
        <w:rPr>
          <w:rFonts w:hint="eastAsia" w:ascii="宋体" w:hAnsi="宋体" w:eastAsia="宋体" w:cs="宋体"/>
          <w:spacing w:val="5"/>
          <w:sz w:val="24"/>
          <w:szCs w:val="24"/>
        </w:rPr>
      </w:pPr>
      <w:r>
        <w:rPr>
          <w:rFonts w:hint="eastAsia" w:ascii="宋体" w:hAnsi="宋体" w:eastAsia="宋体" w:cs="宋体"/>
          <w:spacing w:val="-2"/>
          <w:sz w:val="24"/>
          <w:szCs w:val="24"/>
        </w:rPr>
        <w:t>项目编号：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5"/>
          <w:sz w:val="24"/>
          <w:szCs w:val="24"/>
        </w:rPr>
        <w:t xml:space="preserve">        </w:t>
      </w:r>
    </w:p>
    <w:p w14:paraId="217C8C48">
      <w:pPr>
        <w:pStyle w:val="2"/>
        <w:spacing w:before="181" w:line="200" w:lineRule="auto"/>
        <w:ind w:left="245"/>
        <w:rPr>
          <w:rFonts w:hint="eastAsia" w:ascii="宋体" w:hAnsi="宋体" w:eastAsia="宋体" w:cs="宋体"/>
          <w:sz w:val="24"/>
          <w:szCs w:val="24"/>
        </w:rPr>
      </w:pPr>
      <w:r>
        <w:rPr>
          <w:rFonts w:hint="eastAsia" w:ascii="宋体" w:hAnsi="宋体" w:eastAsia="宋体" w:cs="宋体"/>
          <w:spacing w:val="-2"/>
          <w:sz w:val="24"/>
          <w:szCs w:val="24"/>
        </w:rPr>
        <w:t>项目名称：</w:t>
      </w:r>
      <w:r>
        <w:rPr>
          <w:rFonts w:hint="eastAsia" w:ascii="宋体" w:hAnsi="宋体" w:eastAsia="宋体" w:cs="宋体"/>
          <w:sz w:val="24"/>
          <w:szCs w:val="24"/>
          <w:u w:val="single" w:color="auto"/>
        </w:rPr>
        <w:t xml:space="preserve">                     </w:t>
      </w:r>
    </w:p>
    <w:p w14:paraId="0FD3D4A0">
      <w:pPr>
        <w:spacing w:line="140" w:lineRule="exact"/>
        <w:rPr>
          <w:rFonts w:hint="eastAsia" w:ascii="宋体" w:hAnsi="宋体" w:eastAsia="宋体" w:cs="宋体"/>
          <w:sz w:val="24"/>
          <w:szCs w:val="24"/>
        </w:rPr>
      </w:pPr>
    </w:p>
    <w:tbl>
      <w:tblPr>
        <w:tblStyle w:val="20"/>
        <w:tblW w:w="8376" w:type="dxa"/>
        <w:tblInd w:w="3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349B3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vAlign w:val="top"/>
          </w:tcPr>
          <w:p w14:paraId="789EB9D4">
            <w:pPr>
              <w:pStyle w:val="21"/>
              <w:spacing w:line="371" w:lineRule="auto"/>
              <w:rPr>
                <w:rFonts w:hint="eastAsia" w:ascii="宋体" w:hAnsi="宋体" w:eastAsia="宋体" w:cs="宋体"/>
                <w:sz w:val="24"/>
                <w:szCs w:val="24"/>
              </w:rPr>
            </w:pPr>
          </w:p>
          <w:p w14:paraId="0A2D4309">
            <w:pPr>
              <w:spacing w:before="103" w:line="203" w:lineRule="auto"/>
              <w:ind w:left="107"/>
              <w:rPr>
                <w:rFonts w:hint="eastAsia" w:ascii="宋体" w:hAnsi="宋体" w:eastAsia="宋体" w:cs="宋体"/>
                <w:sz w:val="24"/>
                <w:szCs w:val="24"/>
              </w:rPr>
            </w:pPr>
            <w:r>
              <w:rPr>
                <w:rFonts w:hint="eastAsia" w:ascii="宋体" w:hAnsi="宋体" w:eastAsia="宋体" w:cs="宋体"/>
                <w:b/>
                <w:bCs/>
                <w:spacing w:val="-2"/>
                <w:sz w:val="24"/>
                <w:szCs w:val="24"/>
              </w:rPr>
              <w:t>包号</w:t>
            </w:r>
          </w:p>
        </w:tc>
        <w:tc>
          <w:tcPr>
            <w:tcW w:w="3707" w:type="dxa"/>
            <w:vMerge w:val="restart"/>
            <w:tcBorders>
              <w:bottom w:val="nil"/>
            </w:tcBorders>
            <w:vAlign w:val="top"/>
          </w:tcPr>
          <w:p w14:paraId="537BDEDE">
            <w:pPr>
              <w:pStyle w:val="21"/>
              <w:spacing w:line="371" w:lineRule="auto"/>
              <w:rPr>
                <w:rFonts w:hint="eastAsia" w:ascii="宋体" w:hAnsi="宋体" w:eastAsia="宋体" w:cs="宋体"/>
                <w:sz w:val="24"/>
                <w:szCs w:val="24"/>
              </w:rPr>
            </w:pPr>
          </w:p>
          <w:p w14:paraId="19BFD20D">
            <w:pPr>
              <w:spacing w:before="103" w:line="201" w:lineRule="auto"/>
              <w:ind w:left="1256"/>
              <w:rPr>
                <w:rFonts w:hint="eastAsia" w:ascii="宋体" w:hAnsi="宋体" w:eastAsia="宋体" w:cs="宋体"/>
                <w:sz w:val="24"/>
                <w:szCs w:val="24"/>
              </w:rPr>
            </w:pPr>
            <w:r>
              <w:rPr>
                <w:rFonts w:hint="eastAsia" w:ascii="宋体" w:hAnsi="宋体" w:eastAsia="宋体" w:cs="宋体"/>
                <w:b/>
                <w:bCs/>
                <w:spacing w:val="-1"/>
                <w:sz w:val="24"/>
                <w:szCs w:val="24"/>
              </w:rPr>
              <w:t>投标人名称</w:t>
            </w:r>
          </w:p>
        </w:tc>
        <w:tc>
          <w:tcPr>
            <w:tcW w:w="3975" w:type="dxa"/>
            <w:gridSpan w:val="2"/>
            <w:vAlign w:val="top"/>
          </w:tcPr>
          <w:p w14:paraId="3A04E6E2">
            <w:pPr>
              <w:spacing w:before="136" w:line="201" w:lineRule="auto"/>
              <w:ind w:left="1509"/>
              <w:rPr>
                <w:rFonts w:hint="eastAsia" w:ascii="宋体" w:hAnsi="宋体" w:eastAsia="宋体" w:cs="宋体"/>
                <w:sz w:val="24"/>
                <w:szCs w:val="24"/>
              </w:rPr>
            </w:pPr>
            <w:r>
              <w:rPr>
                <w:rFonts w:hint="eastAsia" w:ascii="宋体" w:hAnsi="宋体" w:eastAsia="宋体" w:cs="宋体"/>
                <w:b/>
                <w:bCs/>
                <w:spacing w:val="-1"/>
                <w:sz w:val="24"/>
                <w:szCs w:val="24"/>
              </w:rPr>
              <w:t>投标报价</w:t>
            </w:r>
          </w:p>
        </w:tc>
      </w:tr>
      <w:tr w14:paraId="43467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vAlign w:val="top"/>
          </w:tcPr>
          <w:p w14:paraId="04CB05E5">
            <w:pPr>
              <w:pStyle w:val="21"/>
              <w:rPr>
                <w:rFonts w:hint="eastAsia" w:ascii="宋体" w:hAnsi="宋体" w:eastAsia="宋体" w:cs="宋体"/>
                <w:sz w:val="24"/>
                <w:szCs w:val="24"/>
              </w:rPr>
            </w:pPr>
          </w:p>
        </w:tc>
        <w:tc>
          <w:tcPr>
            <w:tcW w:w="3707" w:type="dxa"/>
            <w:vMerge w:val="continue"/>
            <w:tcBorders>
              <w:top w:val="nil"/>
            </w:tcBorders>
            <w:vAlign w:val="top"/>
          </w:tcPr>
          <w:p w14:paraId="502411CD">
            <w:pPr>
              <w:pStyle w:val="21"/>
              <w:rPr>
                <w:rFonts w:hint="eastAsia" w:ascii="宋体" w:hAnsi="宋体" w:eastAsia="宋体" w:cs="宋体"/>
                <w:sz w:val="24"/>
                <w:szCs w:val="24"/>
              </w:rPr>
            </w:pPr>
          </w:p>
        </w:tc>
        <w:tc>
          <w:tcPr>
            <w:tcW w:w="1988" w:type="dxa"/>
            <w:vAlign w:val="top"/>
          </w:tcPr>
          <w:p w14:paraId="224E0A12">
            <w:pPr>
              <w:spacing w:before="203" w:line="201" w:lineRule="auto"/>
              <w:ind w:left="762"/>
              <w:rPr>
                <w:rFonts w:hint="eastAsia" w:ascii="宋体" w:hAnsi="宋体" w:eastAsia="宋体" w:cs="宋体"/>
                <w:sz w:val="24"/>
                <w:szCs w:val="24"/>
              </w:rPr>
            </w:pPr>
            <w:r>
              <w:rPr>
                <w:rFonts w:hint="eastAsia" w:ascii="宋体" w:hAnsi="宋体" w:eastAsia="宋体" w:cs="宋体"/>
                <w:b/>
                <w:bCs/>
                <w:spacing w:val="-6"/>
                <w:sz w:val="24"/>
                <w:szCs w:val="24"/>
              </w:rPr>
              <w:t>大写</w:t>
            </w:r>
          </w:p>
        </w:tc>
        <w:tc>
          <w:tcPr>
            <w:tcW w:w="1987" w:type="dxa"/>
            <w:vAlign w:val="top"/>
          </w:tcPr>
          <w:p w14:paraId="632BB38A">
            <w:pPr>
              <w:spacing w:before="203" w:line="203" w:lineRule="auto"/>
              <w:ind w:left="757"/>
              <w:rPr>
                <w:rFonts w:hint="eastAsia" w:ascii="宋体" w:hAnsi="宋体" w:eastAsia="宋体" w:cs="宋体"/>
                <w:sz w:val="24"/>
                <w:szCs w:val="24"/>
              </w:rPr>
            </w:pPr>
            <w:r>
              <w:rPr>
                <w:rFonts w:hint="eastAsia" w:ascii="宋体" w:hAnsi="宋体" w:eastAsia="宋体" w:cs="宋体"/>
                <w:b/>
                <w:bCs/>
                <w:spacing w:val="-3"/>
                <w:sz w:val="24"/>
                <w:szCs w:val="24"/>
              </w:rPr>
              <w:t>小写</w:t>
            </w:r>
          </w:p>
        </w:tc>
      </w:tr>
      <w:tr w14:paraId="06D78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vAlign w:val="top"/>
          </w:tcPr>
          <w:p w14:paraId="035992A8">
            <w:pPr>
              <w:pStyle w:val="21"/>
              <w:rPr>
                <w:rFonts w:hint="eastAsia" w:ascii="宋体" w:hAnsi="宋体" w:eastAsia="宋体" w:cs="宋体"/>
                <w:sz w:val="24"/>
                <w:szCs w:val="24"/>
              </w:rPr>
            </w:pPr>
          </w:p>
        </w:tc>
        <w:tc>
          <w:tcPr>
            <w:tcW w:w="3707" w:type="dxa"/>
            <w:vAlign w:val="top"/>
          </w:tcPr>
          <w:p w14:paraId="7CDEEF11">
            <w:pPr>
              <w:pStyle w:val="21"/>
              <w:rPr>
                <w:rFonts w:hint="eastAsia" w:ascii="宋体" w:hAnsi="宋体" w:eastAsia="宋体" w:cs="宋体"/>
                <w:sz w:val="24"/>
                <w:szCs w:val="24"/>
              </w:rPr>
            </w:pPr>
          </w:p>
        </w:tc>
        <w:tc>
          <w:tcPr>
            <w:tcW w:w="1988" w:type="dxa"/>
            <w:vAlign w:val="top"/>
          </w:tcPr>
          <w:p w14:paraId="721ED3EF">
            <w:pPr>
              <w:pStyle w:val="21"/>
              <w:rPr>
                <w:rFonts w:hint="eastAsia" w:ascii="宋体" w:hAnsi="宋体" w:eastAsia="宋体" w:cs="宋体"/>
                <w:sz w:val="24"/>
                <w:szCs w:val="24"/>
              </w:rPr>
            </w:pPr>
          </w:p>
        </w:tc>
        <w:tc>
          <w:tcPr>
            <w:tcW w:w="1987" w:type="dxa"/>
            <w:vAlign w:val="top"/>
          </w:tcPr>
          <w:p w14:paraId="26A3B849">
            <w:pPr>
              <w:pStyle w:val="21"/>
              <w:rPr>
                <w:rFonts w:hint="eastAsia" w:ascii="宋体" w:hAnsi="宋体" w:eastAsia="宋体" w:cs="宋体"/>
                <w:sz w:val="24"/>
                <w:szCs w:val="24"/>
              </w:rPr>
            </w:pPr>
          </w:p>
        </w:tc>
      </w:tr>
    </w:tbl>
    <w:p w14:paraId="39CB3CC8">
      <w:pPr>
        <w:pStyle w:val="2"/>
        <w:keepNext w:val="0"/>
        <w:keepLines w:val="0"/>
        <w:pageBreakBefore w:val="0"/>
        <w:widowControl/>
        <w:tabs>
          <w:tab w:val="left" w:pos="9060"/>
        </w:tabs>
        <w:kinsoku w:val="0"/>
        <w:wordWrap/>
        <w:overflowPunct/>
        <w:topLinePunct w:val="0"/>
        <w:autoSpaceDE w:val="0"/>
        <w:autoSpaceDN w:val="0"/>
        <w:bidi w:val="0"/>
        <w:adjustRightInd w:val="0"/>
        <w:snapToGrid w:val="0"/>
        <w:spacing w:line="360" w:lineRule="auto"/>
        <w:ind w:left="0" w:right="0" w:rightChars="0" w:firstLine="0"/>
        <w:textAlignment w:val="baseline"/>
        <w:rPr>
          <w:rFonts w:hint="eastAsia" w:ascii="宋体" w:hAnsi="宋体" w:eastAsia="宋体" w:cs="宋体"/>
          <w:sz w:val="24"/>
          <w:szCs w:val="24"/>
        </w:rPr>
      </w:pPr>
      <w:r>
        <w:rPr>
          <w:rFonts w:hint="eastAsia" w:ascii="宋体" w:hAnsi="宋体" w:eastAsia="宋体" w:cs="宋体"/>
          <w:spacing w:val="-3"/>
          <w:sz w:val="24"/>
          <w:szCs w:val="24"/>
        </w:rPr>
        <w:t>注：1.此表中，每包的投标报价应和《投标分项报</w:t>
      </w:r>
      <w:r>
        <w:rPr>
          <w:rFonts w:hint="eastAsia" w:ascii="宋体" w:hAnsi="宋体" w:eastAsia="宋体" w:cs="宋体"/>
          <w:spacing w:val="-4"/>
          <w:sz w:val="24"/>
          <w:szCs w:val="24"/>
        </w:rPr>
        <w:t>价表》中的总价相一致。</w:t>
      </w:r>
    </w:p>
    <w:p w14:paraId="07AF58DE">
      <w:pPr>
        <w:pStyle w:val="2"/>
        <w:keepNext w:val="0"/>
        <w:keepLines w:val="0"/>
        <w:pageBreakBefore w:val="0"/>
        <w:widowControl/>
        <w:tabs>
          <w:tab w:val="left" w:pos="9060"/>
        </w:tabs>
        <w:kinsoku w:val="0"/>
        <w:wordWrap/>
        <w:overflowPunct/>
        <w:topLinePunct w:val="0"/>
        <w:autoSpaceDE w:val="0"/>
        <w:autoSpaceDN w:val="0"/>
        <w:bidi w:val="0"/>
        <w:adjustRightInd w:val="0"/>
        <w:snapToGrid w:val="0"/>
        <w:spacing w:line="360" w:lineRule="auto"/>
        <w:ind w:left="0" w:right="0" w:rightChars="0" w:firstLine="0"/>
        <w:textAlignment w:val="baseline"/>
        <w:rPr>
          <w:rFonts w:hint="eastAsia" w:ascii="宋体" w:hAnsi="宋体" w:eastAsia="宋体" w:cs="宋体"/>
          <w:sz w:val="24"/>
          <w:szCs w:val="24"/>
        </w:rPr>
      </w:pPr>
      <w:r>
        <w:rPr>
          <w:rFonts w:hint="eastAsia" w:ascii="宋体" w:hAnsi="宋体" w:eastAsia="宋体" w:cs="宋体"/>
          <w:sz w:val="24"/>
          <w:szCs w:val="24"/>
        </w:rPr>
        <w:t>2.本表必须按包分别填写。</w:t>
      </w:r>
    </w:p>
    <w:p w14:paraId="3A56BE47">
      <w:pPr>
        <w:spacing w:line="257" w:lineRule="auto"/>
        <w:rPr>
          <w:rFonts w:hint="eastAsia" w:ascii="宋体" w:hAnsi="宋体" w:eastAsia="宋体" w:cs="宋体"/>
          <w:sz w:val="24"/>
          <w:szCs w:val="24"/>
        </w:rPr>
      </w:pPr>
    </w:p>
    <w:p w14:paraId="7FC9C164">
      <w:pPr>
        <w:spacing w:line="257" w:lineRule="auto"/>
        <w:rPr>
          <w:rFonts w:hint="eastAsia" w:ascii="宋体" w:hAnsi="宋体" w:eastAsia="宋体" w:cs="宋体"/>
          <w:sz w:val="24"/>
          <w:szCs w:val="24"/>
        </w:rPr>
      </w:pPr>
    </w:p>
    <w:p w14:paraId="67C8344A">
      <w:pPr>
        <w:spacing w:line="257" w:lineRule="auto"/>
        <w:rPr>
          <w:rFonts w:hint="eastAsia" w:ascii="宋体" w:hAnsi="宋体" w:eastAsia="宋体" w:cs="宋体"/>
          <w:sz w:val="24"/>
          <w:szCs w:val="24"/>
        </w:rPr>
      </w:pPr>
    </w:p>
    <w:p w14:paraId="7676EDDF">
      <w:pPr>
        <w:pStyle w:val="2"/>
        <w:spacing w:before="104" w:line="196" w:lineRule="auto"/>
        <w:ind w:left="6"/>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60"/>
          <w:sz w:val="24"/>
          <w:szCs w:val="24"/>
        </w:rPr>
        <w:t>）：</w:t>
      </w:r>
      <w:r>
        <w:rPr>
          <w:rFonts w:hint="eastAsia" w:ascii="宋体" w:hAnsi="宋体" w:eastAsia="宋体" w:cs="宋体"/>
          <w:sz w:val="24"/>
          <w:szCs w:val="24"/>
          <w:u w:val="single" w:color="auto"/>
        </w:rPr>
        <w:t xml:space="preserve">                     </w:t>
      </w:r>
    </w:p>
    <w:p w14:paraId="00F629A3">
      <w:pPr>
        <w:pStyle w:val="2"/>
        <w:spacing w:before="211" w:line="200" w:lineRule="auto"/>
        <w:ind w:left="56"/>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3"/>
          <w:sz w:val="24"/>
          <w:szCs w:val="24"/>
        </w:rPr>
        <w:t>日</w:t>
      </w:r>
    </w:p>
    <w:p w14:paraId="49AB5BF4">
      <w:pPr>
        <w:pStyle w:val="19"/>
        <w:rPr>
          <w:rFonts w:hint="eastAsia"/>
        </w:rPr>
        <w:sectPr>
          <w:footerReference r:id="rId28" w:type="default"/>
          <w:pgSz w:w="11905" w:h="16838"/>
          <w:pgMar w:top="1361" w:right="1417" w:bottom="1247" w:left="1417" w:header="839" w:footer="884" w:gutter="0"/>
          <w:pgNumType w:fmt="numberInDash"/>
          <w:cols w:space="0" w:num="1"/>
          <w:rtlGutter w:val="0"/>
          <w:docGrid w:linePitch="0" w:charSpace="0"/>
        </w:sectPr>
      </w:pPr>
    </w:p>
    <w:p w14:paraId="51735D71">
      <w:pPr>
        <w:pStyle w:val="2"/>
        <w:keepNext w:val="0"/>
        <w:keepLines w:val="0"/>
        <w:pageBreakBefore w:val="0"/>
        <w:widowControl/>
        <w:kinsoku w:val="0"/>
        <w:wordWrap/>
        <w:overflowPunct/>
        <w:topLinePunct w:val="0"/>
        <w:autoSpaceDE w:val="0"/>
        <w:autoSpaceDN w:val="0"/>
        <w:bidi w:val="0"/>
        <w:adjustRightInd w:val="0"/>
        <w:snapToGrid w:val="0"/>
        <w:spacing w:before="273" w:line="202" w:lineRule="auto"/>
        <w:ind w:left="28"/>
        <w:textAlignment w:val="baseline"/>
        <w:outlineLvl w:val="2"/>
        <w:rPr>
          <w:rFonts w:hint="eastAsia" w:ascii="宋体" w:hAnsi="宋体" w:eastAsia="宋体" w:cs="宋体"/>
          <w:sz w:val="24"/>
          <w:szCs w:val="24"/>
        </w:rPr>
      </w:pPr>
      <w:bookmarkStart w:id="157" w:name="_Toc22060"/>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投标分项报价表（实质性格式）</w:t>
      </w:r>
      <w:bookmarkEnd w:id="157"/>
    </w:p>
    <w:p w14:paraId="02822028">
      <w:pPr>
        <w:pStyle w:val="2"/>
        <w:spacing w:before="150" w:line="205" w:lineRule="auto"/>
        <w:ind w:left="5859"/>
        <w:rPr>
          <w:rFonts w:hint="eastAsia" w:ascii="宋体" w:hAnsi="宋体" w:eastAsia="宋体" w:cs="宋体"/>
          <w:sz w:val="24"/>
          <w:szCs w:val="24"/>
        </w:rPr>
      </w:pPr>
      <w:r>
        <w:rPr>
          <w:rFonts w:hint="eastAsia" w:ascii="宋体" w:hAnsi="宋体" w:eastAsia="宋体" w:cs="宋体"/>
          <w:b/>
          <w:bCs/>
          <w:spacing w:val="10"/>
          <w:sz w:val="24"/>
          <w:szCs w:val="24"/>
        </w:rPr>
        <w:t>投标分项报价表</w:t>
      </w:r>
    </w:p>
    <w:p w14:paraId="0C62FE32">
      <w:pPr>
        <w:pStyle w:val="2"/>
        <w:spacing w:before="248" w:line="179" w:lineRule="auto"/>
        <w:ind w:left="118"/>
        <w:rPr>
          <w:rFonts w:hint="eastAsia" w:ascii="宋体" w:hAnsi="宋体" w:eastAsia="宋体" w:cs="宋体"/>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 xml:space="preserve">  </w:t>
      </w:r>
    </w:p>
    <w:p w14:paraId="70F552EC">
      <w:pPr>
        <w:pStyle w:val="2"/>
        <w:spacing w:before="248" w:line="179" w:lineRule="auto"/>
        <w:ind w:left="118"/>
        <w:rPr>
          <w:rFonts w:hint="eastAsia" w:ascii="宋体" w:hAnsi="宋体" w:eastAsia="宋体" w:cs="宋体"/>
          <w:spacing w:val="-57"/>
          <w:sz w:val="24"/>
          <w:szCs w:val="24"/>
        </w:rPr>
      </w:pPr>
      <w:r>
        <w:rPr>
          <w:rFonts w:hint="eastAsia" w:ascii="宋体" w:hAnsi="宋体" w:eastAsia="宋体" w:cs="宋体"/>
          <w:sz w:val="24"/>
          <w:szCs w:val="24"/>
        </w:rPr>
        <w:t>项目名称：</w:t>
      </w:r>
      <w:r>
        <w:rPr>
          <w:rFonts w:hint="eastAsia" w:ascii="宋体" w:hAnsi="宋体" w:eastAsia="宋体" w:cs="宋体"/>
          <w:sz w:val="24"/>
          <w:szCs w:val="24"/>
          <w:u w:val="single" w:color="auto"/>
        </w:rPr>
        <w:t xml:space="preserve">                 </w:t>
      </w:r>
      <w:r>
        <w:rPr>
          <w:rFonts w:hint="eastAsia" w:ascii="宋体" w:hAnsi="宋体" w:eastAsia="宋体" w:cs="宋体"/>
          <w:spacing w:val="-57"/>
          <w:sz w:val="24"/>
          <w:szCs w:val="24"/>
        </w:rPr>
        <w:t xml:space="preserve"> </w:t>
      </w:r>
    </w:p>
    <w:p w14:paraId="1C67B3CB">
      <w:pPr>
        <w:pStyle w:val="2"/>
        <w:spacing w:before="248" w:line="179" w:lineRule="auto"/>
        <w:ind w:left="118"/>
        <w:jc w:val="right"/>
        <w:rPr>
          <w:rFonts w:hint="eastAsia" w:ascii="宋体" w:hAnsi="宋体" w:eastAsia="宋体" w:cs="宋体"/>
          <w:sz w:val="24"/>
          <w:szCs w:val="24"/>
        </w:rPr>
      </w:pPr>
      <w:r>
        <w:rPr>
          <w:rFonts w:hint="eastAsia" w:ascii="宋体" w:hAnsi="宋体" w:eastAsia="宋体" w:cs="宋体"/>
          <w:sz w:val="24"/>
          <w:szCs w:val="24"/>
        </w:rPr>
        <w:t>报价单位：人民币元</w:t>
      </w:r>
    </w:p>
    <w:tbl>
      <w:tblPr>
        <w:tblStyle w:val="20"/>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6"/>
        <w:gridCol w:w="1783"/>
        <w:gridCol w:w="1090"/>
        <w:gridCol w:w="1144"/>
        <w:gridCol w:w="2117"/>
        <w:gridCol w:w="962"/>
        <w:gridCol w:w="1527"/>
        <w:gridCol w:w="1521"/>
        <w:gridCol w:w="1241"/>
        <w:gridCol w:w="1016"/>
        <w:gridCol w:w="1270"/>
      </w:tblGrid>
      <w:tr w14:paraId="0A26A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209" w:type="pct"/>
            <w:textDirection w:val="tbRlV"/>
            <w:vAlign w:val="center"/>
          </w:tcPr>
          <w:p w14:paraId="6CE299A6">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625" w:type="pct"/>
            <w:vAlign w:val="center"/>
          </w:tcPr>
          <w:p w14:paraId="462E9B24">
            <w:pPr>
              <w:jc w:val="center"/>
              <w:rPr>
                <w:rFonts w:hint="eastAsia" w:ascii="宋体" w:hAnsi="宋体" w:eastAsia="宋体" w:cs="宋体"/>
                <w:sz w:val="24"/>
                <w:szCs w:val="24"/>
              </w:rPr>
            </w:pPr>
            <w:r>
              <w:rPr>
                <w:rFonts w:hint="eastAsia" w:ascii="宋体" w:hAnsi="宋体" w:eastAsia="宋体" w:cs="宋体"/>
                <w:sz w:val="24"/>
                <w:szCs w:val="24"/>
              </w:rPr>
              <w:t>分项名称</w:t>
            </w:r>
          </w:p>
        </w:tc>
        <w:tc>
          <w:tcPr>
            <w:tcW w:w="382" w:type="pct"/>
            <w:vAlign w:val="center"/>
          </w:tcPr>
          <w:p w14:paraId="12B28C4A">
            <w:pPr>
              <w:jc w:val="center"/>
              <w:rPr>
                <w:rFonts w:hint="eastAsia" w:ascii="宋体" w:hAnsi="宋体" w:eastAsia="宋体" w:cs="宋体"/>
                <w:sz w:val="24"/>
                <w:szCs w:val="24"/>
              </w:rPr>
            </w:pPr>
            <w:r>
              <w:rPr>
                <w:rFonts w:hint="eastAsia" w:ascii="宋体" w:hAnsi="宋体" w:eastAsia="宋体" w:cs="宋体"/>
                <w:sz w:val="24"/>
                <w:szCs w:val="24"/>
              </w:rPr>
              <w:t>制造商</w:t>
            </w:r>
          </w:p>
        </w:tc>
        <w:tc>
          <w:tcPr>
            <w:tcW w:w="401" w:type="pct"/>
            <w:vAlign w:val="center"/>
          </w:tcPr>
          <w:p w14:paraId="3DC14B76">
            <w:pPr>
              <w:jc w:val="center"/>
              <w:rPr>
                <w:rFonts w:hint="eastAsia" w:ascii="宋体" w:hAnsi="宋体" w:eastAsia="宋体" w:cs="宋体"/>
                <w:sz w:val="24"/>
                <w:szCs w:val="24"/>
              </w:rPr>
            </w:pPr>
            <w:r>
              <w:rPr>
                <w:rFonts w:hint="eastAsia" w:ascii="宋体" w:hAnsi="宋体" w:eastAsia="宋体" w:cs="宋体"/>
                <w:sz w:val="24"/>
                <w:szCs w:val="24"/>
              </w:rPr>
              <w:t>产地/国别</w:t>
            </w:r>
          </w:p>
        </w:tc>
        <w:tc>
          <w:tcPr>
            <w:tcW w:w="742" w:type="pct"/>
            <w:shd w:val="clear" w:color="auto" w:fill="auto"/>
            <w:vAlign w:val="center"/>
          </w:tcPr>
          <w:p w14:paraId="1BFE1E76">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制造商规模</w:t>
            </w:r>
          </w:p>
        </w:tc>
        <w:tc>
          <w:tcPr>
            <w:tcW w:w="337" w:type="pct"/>
            <w:shd w:val="clear" w:color="auto" w:fill="auto"/>
            <w:vAlign w:val="center"/>
          </w:tcPr>
          <w:p w14:paraId="17E505CB">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品牌</w:t>
            </w:r>
          </w:p>
        </w:tc>
        <w:tc>
          <w:tcPr>
            <w:tcW w:w="535" w:type="pct"/>
            <w:shd w:val="clear" w:color="auto" w:fill="auto"/>
            <w:vAlign w:val="center"/>
          </w:tcPr>
          <w:p w14:paraId="4F65CEF3">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规格、型号</w:t>
            </w:r>
          </w:p>
        </w:tc>
        <w:tc>
          <w:tcPr>
            <w:tcW w:w="533" w:type="pct"/>
            <w:vAlign w:val="center"/>
          </w:tcPr>
          <w:p w14:paraId="3C9EF88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435" w:type="pct"/>
            <w:vAlign w:val="center"/>
          </w:tcPr>
          <w:p w14:paraId="4F5D8F7F">
            <w:pPr>
              <w:jc w:val="center"/>
              <w:rPr>
                <w:rFonts w:hint="eastAsia" w:ascii="宋体" w:hAnsi="宋体" w:eastAsia="宋体" w:cs="宋体"/>
                <w:sz w:val="24"/>
                <w:szCs w:val="24"/>
              </w:rPr>
            </w:pPr>
            <w:r>
              <w:rPr>
                <w:rFonts w:hint="eastAsia" w:ascii="宋体" w:hAnsi="宋体" w:eastAsia="宋体" w:cs="宋体"/>
                <w:sz w:val="24"/>
                <w:szCs w:val="24"/>
              </w:rPr>
              <w:t>单价</w:t>
            </w:r>
          </w:p>
        </w:tc>
        <w:tc>
          <w:tcPr>
            <w:tcW w:w="356" w:type="pct"/>
            <w:vAlign w:val="center"/>
          </w:tcPr>
          <w:p w14:paraId="7D3B6449">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439" w:type="pct"/>
            <w:vAlign w:val="center"/>
          </w:tcPr>
          <w:p w14:paraId="17FF7D69">
            <w:pPr>
              <w:jc w:val="center"/>
              <w:rPr>
                <w:rFonts w:hint="eastAsia" w:ascii="宋体" w:hAnsi="宋体" w:eastAsia="宋体" w:cs="宋体"/>
                <w:sz w:val="24"/>
                <w:szCs w:val="24"/>
              </w:rPr>
            </w:pPr>
            <w:r>
              <w:rPr>
                <w:rFonts w:hint="eastAsia" w:ascii="宋体" w:hAnsi="宋体" w:eastAsia="宋体" w:cs="宋体"/>
                <w:sz w:val="24"/>
                <w:szCs w:val="24"/>
              </w:rPr>
              <w:t>合价</w:t>
            </w:r>
          </w:p>
        </w:tc>
      </w:tr>
      <w:tr w14:paraId="6848E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09" w:type="pct"/>
            <w:vAlign w:val="center"/>
          </w:tcPr>
          <w:p w14:paraId="4D4C473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625" w:type="pct"/>
            <w:vAlign w:val="center"/>
          </w:tcPr>
          <w:p w14:paraId="31A4235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color w:val="auto"/>
                <w:highlight w:val="none"/>
                <w:lang w:eastAsia="zh-CN" w:bidi="zh-CN"/>
              </w:rPr>
              <w:t>全自动多参数滴定分析仪</w:t>
            </w:r>
          </w:p>
        </w:tc>
        <w:tc>
          <w:tcPr>
            <w:tcW w:w="382" w:type="pct"/>
            <w:vAlign w:val="center"/>
          </w:tcPr>
          <w:p w14:paraId="564243B5">
            <w:pPr>
              <w:jc w:val="center"/>
              <w:rPr>
                <w:rFonts w:hint="eastAsia" w:ascii="宋体" w:hAnsi="宋体" w:eastAsia="宋体" w:cs="宋体"/>
                <w:sz w:val="24"/>
                <w:szCs w:val="24"/>
              </w:rPr>
            </w:pPr>
          </w:p>
        </w:tc>
        <w:tc>
          <w:tcPr>
            <w:tcW w:w="401" w:type="pct"/>
            <w:vAlign w:val="center"/>
          </w:tcPr>
          <w:p w14:paraId="2266CDFA">
            <w:pPr>
              <w:jc w:val="center"/>
              <w:rPr>
                <w:rFonts w:hint="eastAsia" w:ascii="宋体" w:hAnsi="宋体" w:eastAsia="宋体" w:cs="宋体"/>
                <w:sz w:val="24"/>
                <w:szCs w:val="24"/>
              </w:rPr>
            </w:pPr>
          </w:p>
        </w:tc>
        <w:tc>
          <w:tcPr>
            <w:tcW w:w="742" w:type="pct"/>
            <w:vAlign w:val="center"/>
          </w:tcPr>
          <w:p w14:paraId="7220D26B">
            <w:pPr>
              <w:jc w:val="center"/>
              <w:rPr>
                <w:rFonts w:hint="eastAsia" w:ascii="宋体" w:hAnsi="宋体" w:eastAsia="宋体" w:cs="宋体"/>
                <w:sz w:val="24"/>
                <w:szCs w:val="24"/>
              </w:rPr>
            </w:pPr>
          </w:p>
        </w:tc>
        <w:tc>
          <w:tcPr>
            <w:tcW w:w="337" w:type="pct"/>
            <w:vAlign w:val="center"/>
          </w:tcPr>
          <w:p w14:paraId="506A18F9">
            <w:pPr>
              <w:jc w:val="center"/>
              <w:rPr>
                <w:rFonts w:hint="eastAsia" w:ascii="宋体" w:hAnsi="宋体" w:eastAsia="宋体" w:cs="宋体"/>
                <w:sz w:val="24"/>
                <w:szCs w:val="24"/>
              </w:rPr>
            </w:pPr>
          </w:p>
        </w:tc>
        <w:tc>
          <w:tcPr>
            <w:tcW w:w="535" w:type="pct"/>
            <w:vAlign w:val="center"/>
          </w:tcPr>
          <w:p w14:paraId="29E08617">
            <w:pPr>
              <w:jc w:val="center"/>
              <w:rPr>
                <w:rFonts w:hint="eastAsia" w:ascii="宋体" w:hAnsi="宋体" w:eastAsia="宋体" w:cs="宋体"/>
                <w:sz w:val="24"/>
                <w:szCs w:val="24"/>
              </w:rPr>
            </w:pPr>
          </w:p>
        </w:tc>
        <w:tc>
          <w:tcPr>
            <w:tcW w:w="533" w:type="pct"/>
            <w:vAlign w:val="center"/>
          </w:tcPr>
          <w:p w14:paraId="5A7A88B2">
            <w:pPr>
              <w:jc w:val="center"/>
              <w:rPr>
                <w:rFonts w:hint="eastAsia" w:ascii="宋体" w:hAnsi="宋体" w:eastAsia="宋体" w:cs="宋体"/>
                <w:sz w:val="24"/>
                <w:szCs w:val="24"/>
              </w:rPr>
            </w:pPr>
          </w:p>
        </w:tc>
        <w:tc>
          <w:tcPr>
            <w:tcW w:w="435" w:type="pct"/>
            <w:vAlign w:val="center"/>
          </w:tcPr>
          <w:p w14:paraId="4CBC78B4">
            <w:pPr>
              <w:jc w:val="center"/>
              <w:rPr>
                <w:rFonts w:hint="eastAsia" w:ascii="宋体" w:hAnsi="宋体" w:eastAsia="宋体" w:cs="宋体"/>
                <w:sz w:val="24"/>
                <w:szCs w:val="24"/>
              </w:rPr>
            </w:pPr>
          </w:p>
        </w:tc>
        <w:tc>
          <w:tcPr>
            <w:tcW w:w="356" w:type="pct"/>
            <w:vAlign w:val="center"/>
          </w:tcPr>
          <w:p w14:paraId="58D2EDD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439" w:type="pct"/>
            <w:vAlign w:val="center"/>
          </w:tcPr>
          <w:p w14:paraId="315A7774">
            <w:pPr>
              <w:jc w:val="center"/>
              <w:rPr>
                <w:rFonts w:hint="eastAsia" w:ascii="宋体" w:hAnsi="宋体" w:eastAsia="宋体" w:cs="宋体"/>
                <w:sz w:val="24"/>
                <w:szCs w:val="24"/>
              </w:rPr>
            </w:pPr>
          </w:p>
        </w:tc>
      </w:tr>
      <w:tr w14:paraId="32880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09" w:type="pct"/>
            <w:vAlign w:val="center"/>
          </w:tcPr>
          <w:p w14:paraId="7256B14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2</w:t>
            </w:r>
          </w:p>
        </w:tc>
        <w:tc>
          <w:tcPr>
            <w:tcW w:w="625" w:type="pct"/>
            <w:vAlign w:val="center"/>
          </w:tcPr>
          <w:p w14:paraId="04190F8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color w:val="auto"/>
                <w:highlight w:val="none"/>
                <w:lang w:eastAsia="zh-CN" w:bidi="zh-CN"/>
              </w:rPr>
              <w:t>蒸发恒重分析仪</w:t>
            </w:r>
          </w:p>
        </w:tc>
        <w:tc>
          <w:tcPr>
            <w:tcW w:w="382" w:type="pct"/>
            <w:vAlign w:val="center"/>
          </w:tcPr>
          <w:p w14:paraId="0A3AE0E8">
            <w:pPr>
              <w:jc w:val="center"/>
              <w:rPr>
                <w:rFonts w:hint="eastAsia" w:ascii="宋体" w:hAnsi="宋体" w:eastAsia="宋体" w:cs="宋体"/>
                <w:sz w:val="24"/>
                <w:szCs w:val="24"/>
              </w:rPr>
            </w:pPr>
          </w:p>
        </w:tc>
        <w:tc>
          <w:tcPr>
            <w:tcW w:w="401" w:type="pct"/>
            <w:vAlign w:val="center"/>
          </w:tcPr>
          <w:p w14:paraId="7416BE5A">
            <w:pPr>
              <w:jc w:val="center"/>
              <w:rPr>
                <w:rFonts w:hint="eastAsia" w:ascii="宋体" w:hAnsi="宋体" w:eastAsia="宋体" w:cs="宋体"/>
                <w:sz w:val="24"/>
                <w:szCs w:val="24"/>
              </w:rPr>
            </w:pPr>
          </w:p>
        </w:tc>
        <w:tc>
          <w:tcPr>
            <w:tcW w:w="742" w:type="pct"/>
            <w:vAlign w:val="center"/>
          </w:tcPr>
          <w:p w14:paraId="1F41814E">
            <w:pPr>
              <w:jc w:val="center"/>
              <w:rPr>
                <w:rFonts w:hint="eastAsia" w:ascii="宋体" w:hAnsi="宋体" w:eastAsia="宋体" w:cs="宋体"/>
                <w:sz w:val="24"/>
                <w:szCs w:val="24"/>
              </w:rPr>
            </w:pPr>
          </w:p>
        </w:tc>
        <w:tc>
          <w:tcPr>
            <w:tcW w:w="337" w:type="pct"/>
            <w:vAlign w:val="center"/>
          </w:tcPr>
          <w:p w14:paraId="4B112A97">
            <w:pPr>
              <w:jc w:val="center"/>
              <w:rPr>
                <w:rFonts w:hint="eastAsia" w:ascii="宋体" w:hAnsi="宋体" w:eastAsia="宋体" w:cs="宋体"/>
                <w:sz w:val="24"/>
                <w:szCs w:val="24"/>
              </w:rPr>
            </w:pPr>
          </w:p>
        </w:tc>
        <w:tc>
          <w:tcPr>
            <w:tcW w:w="535" w:type="pct"/>
            <w:vAlign w:val="center"/>
          </w:tcPr>
          <w:p w14:paraId="79903F89">
            <w:pPr>
              <w:jc w:val="center"/>
              <w:rPr>
                <w:rFonts w:hint="eastAsia" w:ascii="宋体" w:hAnsi="宋体" w:eastAsia="宋体" w:cs="宋体"/>
                <w:sz w:val="24"/>
                <w:szCs w:val="24"/>
              </w:rPr>
            </w:pPr>
          </w:p>
        </w:tc>
        <w:tc>
          <w:tcPr>
            <w:tcW w:w="533" w:type="pct"/>
            <w:vAlign w:val="center"/>
          </w:tcPr>
          <w:p w14:paraId="5058D21F">
            <w:pPr>
              <w:jc w:val="center"/>
              <w:rPr>
                <w:rFonts w:hint="eastAsia" w:ascii="宋体" w:hAnsi="宋体" w:eastAsia="宋体" w:cs="宋体"/>
                <w:sz w:val="24"/>
                <w:szCs w:val="24"/>
              </w:rPr>
            </w:pPr>
          </w:p>
        </w:tc>
        <w:tc>
          <w:tcPr>
            <w:tcW w:w="435" w:type="pct"/>
            <w:vAlign w:val="center"/>
          </w:tcPr>
          <w:p w14:paraId="58A27DE5">
            <w:pPr>
              <w:jc w:val="center"/>
              <w:rPr>
                <w:rFonts w:hint="eastAsia" w:ascii="宋体" w:hAnsi="宋体" w:eastAsia="宋体" w:cs="宋体"/>
                <w:sz w:val="24"/>
                <w:szCs w:val="24"/>
              </w:rPr>
            </w:pPr>
          </w:p>
        </w:tc>
        <w:tc>
          <w:tcPr>
            <w:tcW w:w="356" w:type="pct"/>
            <w:vAlign w:val="center"/>
          </w:tcPr>
          <w:p w14:paraId="2E08611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439" w:type="pct"/>
            <w:vAlign w:val="center"/>
          </w:tcPr>
          <w:p w14:paraId="3A12C817">
            <w:pPr>
              <w:jc w:val="center"/>
              <w:rPr>
                <w:rFonts w:hint="eastAsia" w:ascii="宋体" w:hAnsi="宋体" w:eastAsia="宋体" w:cs="宋体"/>
                <w:sz w:val="24"/>
                <w:szCs w:val="24"/>
              </w:rPr>
            </w:pPr>
          </w:p>
        </w:tc>
      </w:tr>
      <w:tr w14:paraId="75CC8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209" w:type="pct"/>
            <w:vAlign w:val="center"/>
          </w:tcPr>
          <w:p w14:paraId="1C4B6510">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3</w:t>
            </w:r>
          </w:p>
        </w:tc>
        <w:tc>
          <w:tcPr>
            <w:tcW w:w="625" w:type="pct"/>
            <w:vAlign w:val="center"/>
          </w:tcPr>
          <w:p w14:paraId="2A061F83">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color w:val="auto"/>
                <w:highlight w:val="none"/>
                <w:lang w:eastAsia="zh-CN" w:bidi="zh-CN"/>
              </w:rPr>
              <w:t>全自动游离二氧化硅前处理仪</w:t>
            </w:r>
          </w:p>
        </w:tc>
        <w:tc>
          <w:tcPr>
            <w:tcW w:w="382" w:type="pct"/>
            <w:vAlign w:val="center"/>
          </w:tcPr>
          <w:p w14:paraId="42ED9974">
            <w:pPr>
              <w:jc w:val="center"/>
              <w:rPr>
                <w:rFonts w:hint="eastAsia" w:ascii="宋体" w:hAnsi="宋体" w:eastAsia="宋体" w:cs="宋体"/>
                <w:sz w:val="24"/>
                <w:szCs w:val="24"/>
              </w:rPr>
            </w:pPr>
          </w:p>
        </w:tc>
        <w:tc>
          <w:tcPr>
            <w:tcW w:w="401" w:type="pct"/>
            <w:vAlign w:val="center"/>
          </w:tcPr>
          <w:p w14:paraId="30E381C7">
            <w:pPr>
              <w:jc w:val="center"/>
              <w:rPr>
                <w:rFonts w:hint="eastAsia" w:ascii="宋体" w:hAnsi="宋体" w:eastAsia="宋体" w:cs="宋体"/>
                <w:sz w:val="24"/>
                <w:szCs w:val="24"/>
              </w:rPr>
            </w:pPr>
          </w:p>
        </w:tc>
        <w:tc>
          <w:tcPr>
            <w:tcW w:w="742" w:type="pct"/>
            <w:vAlign w:val="center"/>
          </w:tcPr>
          <w:p w14:paraId="61EB373E">
            <w:pPr>
              <w:jc w:val="center"/>
              <w:rPr>
                <w:rFonts w:hint="eastAsia" w:ascii="宋体" w:hAnsi="宋体" w:eastAsia="宋体" w:cs="宋体"/>
                <w:sz w:val="24"/>
                <w:szCs w:val="24"/>
              </w:rPr>
            </w:pPr>
          </w:p>
        </w:tc>
        <w:tc>
          <w:tcPr>
            <w:tcW w:w="337" w:type="pct"/>
            <w:vAlign w:val="center"/>
          </w:tcPr>
          <w:p w14:paraId="213E093D">
            <w:pPr>
              <w:jc w:val="center"/>
              <w:rPr>
                <w:rFonts w:hint="eastAsia" w:ascii="宋体" w:hAnsi="宋体" w:eastAsia="宋体" w:cs="宋体"/>
                <w:sz w:val="24"/>
                <w:szCs w:val="24"/>
              </w:rPr>
            </w:pPr>
          </w:p>
        </w:tc>
        <w:tc>
          <w:tcPr>
            <w:tcW w:w="535" w:type="pct"/>
            <w:vAlign w:val="center"/>
          </w:tcPr>
          <w:p w14:paraId="4ED61F38">
            <w:pPr>
              <w:jc w:val="center"/>
              <w:rPr>
                <w:rFonts w:hint="eastAsia" w:ascii="宋体" w:hAnsi="宋体" w:eastAsia="宋体" w:cs="宋体"/>
                <w:sz w:val="24"/>
                <w:szCs w:val="24"/>
              </w:rPr>
            </w:pPr>
          </w:p>
        </w:tc>
        <w:tc>
          <w:tcPr>
            <w:tcW w:w="533" w:type="pct"/>
            <w:vAlign w:val="center"/>
          </w:tcPr>
          <w:p w14:paraId="4D42819C">
            <w:pPr>
              <w:jc w:val="center"/>
              <w:rPr>
                <w:rFonts w:hint="eastAsia" w:ascii="宋体" w:hAnsi="宋体" w:eastAsia="宋体" w:cs="宋体"/>
                <w:sz w:val="24"/>
                <w:szCs w:val="24"/>
              </w:rPr>
            </w:pPr>
          </w:p>
        </w:tc>
        <w:tc>
          <w:tcPr>
            <w:tcW w:w="435" w:type="pct"/>
            <w:vAlign w:val="center"/>
          </w:tcPr>
          <w:p w14:paraId="48963B88">
            <w:pPr>
              <w:jc w:val="center"/>
              <w:rPr>
                <w:rFonts w:hint="eastAsia" w:ascii="宋体" w:hAnsi="宋体" w:eastAsia="宋体" w:cs="宋体"/>
                <w:sz w:val="24"/>
                <w:szCs w:val="24"/>
              </w:rPr>
            </w:pPr>
          </w:p>
        </w:tc>
        <w:tc>
          <w:tcPr>
            <w:tcW w:w="356" w:type="pct"/>
            <w:vAlign w:val="center"/>
          </w:tcPr>
          <w:p w14:paraId="539AF51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439" w:type="pct"/>
            <w:vAlign w:val="center"/>
          </w:tcPr>
          <w:p w14:paraId="5A70973F">
            <w:pPr>
              <w:jc w:val="center"/>
              <w:rPr>
                <w:rFonts w:hint="eastAsia" w:ascii="宋体" w:hAnsi="宋体" w:eastAsia="宋体" w:cs="宋体"/>
                <w:sz w:val="24"/>
                <w:szCs w:val="24"/>
              </w:rPr>
            </w:pPr>
          </w:p>
        </w:tc>
      </w:tr>
      <w:tr w14:paraId="47773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09" w:type="pct"/>
            <w:vAlign w:val="center"/>
          </w:tcPr>
          <w:p w14:paraId="3BAC800E">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4</w:t>
            </w:r>
          </w:p>
        </w:tc>
        <w:tc>
          <w:tcPr>
            <w:tcW w:w="625" w:type="pct"/>
            <w:vAlign w:val="center"/>
          </w:tcPr>
          <w:p w14:paraId="5453DBA7">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color w:val="auto"/>
                <w:highlight w:val="none"/>
                <w:lang w:eastAsia="zh-CN" w:bidi="zh-CN"/>
              </w:rPr>
              <w:t>全自动流动注射分析仪</w:t>
            </w:r>
          </w:p>
        </w:tc>
        <w:tc>
          <w:tcPr>
            <w:tcW w:w="382" w:type="pct"/>
            <w:vAlign w:val="center"/>
          </w:tcPr>
          <w:p w14:paraId="42908F18">
            <w:pPr>
              <w:jc w:val="center"/>
              <w:rPr>
                <w:rFonts w:hint="eastAsia" w:ascii="宋体" w:hAnsi="宋体" w:eastAsia="宋体" w:cs="宋体"/>
                <w:sz w:val="24"/>
                <w:szCs w:val="24"/>
              </w:rPr>
            </w:pPr>
          </w:p>
        </w:tc>
        <w:tc>
          <w:tcPr>
            <w:tcW w:w="401" w:type="pct"/>
            <w:vAlign w:val="center"/>
          </w:tcPr>
          <w:p w14:paraId="61058A71">
            <w:pPr>
              <w:jc w:val="center"/>
              <w:rPr>
                <w:rFonts w:hint="eastAsia" w:ascii="宋体" w:hAnsi="宋体" w:eastAsia="宋体" w:cs="宋体"/>
                <w:sz w:val="24"/>
                <w:szCs w:val="24"/>
              </w:rPr>
            </w:pPr>
          </w:p>
        </w:tc>
        <w:tc>
          <w:tcPr>
            <w:tcW w:w="742" w:type="pct"/>
            <w:vAlign w:val="center"/>
          </w:tcPr>
          <w:p w14:paraId="7660738C">
            <w:pPr>
              <w:jc w:val="center"/>
              <w:rPr>
                <w:rFonts w:hint="eastAsia" w:ascii="宋体" w:hAnsi="宋体" w:eastAsia="宋体" w:cs="宋体"/>
                <w:sz w:val="24"/>
                <w:szCs w:val="24"/>
              </w:rPr>
            </w:pPr>
          </w:p>
        </w:tc>
        <w:tc>
          <w:tcPr>
            <w:tcW w:w="337" w:type="pct"/>
            <w:vAlign w:val="center"/>
          </w:tcPr>
          <w:p w14:paraId="4E70F974">
            <w:pPr>
              <w:jc w:val="center"/>
              <w:rPr>
                <w:rFonts w:hint="eastAsia" w:ascii="宋体" w:hAnsi="宋体" w:eastAsia="宋体" w:cs="宋体"/>
                <w:sz w:val="24"/>
                <w:szCs w:val="24"/>
              </w:rPr>
            </w:pPr>
          </w:p>
        </w:tc>
        <w:tc>
          <w:tcPr>
            <w:tcW w:w="535" w:type="pct"/>
            <w:vAlign w:val="center"/>
          </w:tcPr>
          <w:p w14:paraId="3F5B12CF">
            <w:pPr>
              <w:jc w:val="center"/>
              <w:rPr>
                <w:rFonts w:hint="eastAsia" w:ascii="宋体" w:hAnsi="宋体" w:eastAsia="宋体" w:cs="宋体"/>
                <w:sz w:val="24"/>
                <w:szCs w:val="24"/>
              </w:rPr>
            </w:pPr>
          </w:p>
        </w:tc>
        <w:tc>
          <w:tcPr>
            <w:tcW w:w="533" w:type="pct"/>
            <w:vAlign w:val="center"/>
          </w:tcPr>
          <w:p w14:paraId="5851C7C3">
            <w:pPr>
              <w:jc w:val="center"/>
              <w:rPr>
                <w:rFonts w:hint="eastAsia" w:ascii="宋体" w:hAnsi="宋体" w:eastAsia="宋体" w:cs="宋体"/>
                <w:sz w:val="24"/>
                <w:szCs w:val="24"/>
              </w:rPr>
            </w:pPr>
          </w:p>
        </w:tc>
        <w:tc>
          <w:tcPr>
            <w:tcW w:w="435" w:type="pct"/>
            <w:vAlign w:val="center"/>
          </w:tcPr>
          <w:p w14:paraId="587B3E24">
            <w:pPr>
              <w:jc w:val="center"/>
              <w:rPr>
                <w:rFonts w:hint="eastAsia" w:ascii="宋体" w:hAnsi="宋体" w:eastAsia="宋体" w:cs="宋体"/>
                <w:sz w:val="24"/>
                <w:szCs w:val="24"/>
              </w:rPr>
            </w:pPr>
          </w:p>
        </w:tc>
        <w:tc>
          <w:tcPr>
            <w:tcW w:w="356" w:type="pct"/>
            <w:vAlign w:val="center"/>
          </w:tcPr>
          <w:p w14:paraId="5D538AA2">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439" w:type="pct"/>
            <w:vAlign w:val="center"/>
          </w:tcPr>
          <w:p w14:paraId="616C0AC1">
            <w:pPr>
              <w:jc w:val="center"/>
              <w:rPr>
                <w:rFonts w:hint="eastAsia" w:ascii="宋体" w:hAnsi="宋体" w:eastAsia="宋体" w:cs="宋体"/>
                <w:sz w:val="24"/>
                <w:szCs w:val="24"/>
              </w:rPr>
            </w:pPr>
          </w:p>
        </w:tc>
      </w:tr>
      <w:tr w14:paraId="40A9D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09" w:type="pct"/>
            <w:vAlign w:val="center"/>
          </w:tcPr>
          <w:p w14:paraId="6BC4A2C8">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5</w:t>
            </w:r>
          </w:p>
        </w:tc>
        <w:tc>
          <w:tcPr>
            <w:tcW w:w="625" w:type="pct"/>
            <w:vAlign w:val="center"/>
          </w:tcPr>
          <w:p w14:paraId="552E9CA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color w:val="auto"/>
                <w:highlight w:val="none"/>
                <w:lang w:eastAsia="zh-CN" w:bidi="zh-CN"/>
              </w:rPr>
              <w:t>全自动核酸处理仪</w:t>
            </w:r>
          </w:p>
        </w:tc>
        <w:tc>
          <w:tcPr>
            <w:tcW w:w="382" w:type="pct"/>
            <w:vAlign w:val="center"/>
          </w:tcPr>
          <w:p w14:paraId="1EEC34D0">
            <w:pPr>
              <w:jc w:val="center"/>
              <w:rPr>
                <w:rFonts w:hint="eastAsia" w:ascii="宋体" w:hAnsi="宋体" w:eastAsia="宋体" w:cs="宋体"/>
                <w:sz w:val="24"/>
                <w:szCs w:val="24"/>
              </w:rPr>
            </w:pPr>
          </w:p>
        </w:tc>
        <w:tc>
          <w:tcPr>
            <w:tcW w:w="401" w:type="pct"/>
            <w:vAlign w:val="center"/>
          </w:tcPr>
          <w:p w14:paraId="797D75D8">
            <w:pPr>
              <w:jc w:val="center"/>
              <w:rPr>
                <w:rFonts w:hint="eastAsia" w:ascii="宋体" w:hAnsi="宋体" w:eastAsia="宋体" w:cs="宋体"/>
                <w:sz w:val="24"/>
                <w:szCs w:val="24"/>
              </w:rPr>
            </w:pPr>
          </w:p>
        </w:tc>
        <w:tc>
          <w:tcPr>
            <w:tcW w:w="742" w:type="pct"/>
            <w:vAlign w:val="center"/>
          </w:tcPr>
          <w:p w14:paraId="532309DB">
            <w:pPr>
              <w:jc w:val="center"/>
              <w:rPr>
                <w:rFonts w:hint="eastAsia" w:ascii="宋体" w:hAnsi="宋体" w:eastAsia="宋体" w:cs="宋体"/>
                <w:sz w:val="24"/>
                <w:szCs w:val="24"/>
              </w:rPr>
            </w:pPr>
          </w:p>
        </w:tc>
        <w:tc>
          <w:tcPr>
            <w:tcW w:w="337" w:type="pct"/>
            <w:vAlign w:val="center"/>
          </w:tcPr>
          <w:p w14:paraId="560F8399">
            <w:pPr>
              <w:jc w:val="center"/>
              <w:rPr>
                <w:rFonts w:hint="eastAsia" w:ascii="宋体" w:hAnsi="宋体" w:eastAsia="宋体" w:cs="宋体"/>
                <w:sz w:val="24"/>
                <w:szCs w:val="24"/>
              </w:rPr>
            </w:pPr>
          </w:p>
        </w:tc>
        <w:tc>
          <w:tcPr>
            <w:tcW w:w="535" w:type="pct"/>
            <w:vAlign w:val="center"/>
          </w:tcPr>
          <w:p w14:paraId="5C4EA627">
            <w:pPr>
              <w:jc w:val="center"/>
              <w:rPr>
                <w:rFonts w:hint="eastAsia" w:ascii="宋体" w:hAnsi="宋体" w:eastAsia="宋体" w:cs="宋体"/>
                <w:sz w:val="24"/>
                <w:szCs w:val="24"/>
              </w:rPr>
            </w:pPr>
          </w:p>
        </w:tc>
        <w:tc>
          <w:tcPr>
            <w:tcW w:w="533" w:type="pct"/>
            <w:vAlign w:val="center"/>
          </w:tcPr>
          <w:p w14:paraId="4494F23C">
            <w:pPr>
              <w:jc w:val="center"/>
              <w:rPr>
                <w:rFonts w:hint="eastAsia" w:ascii="宋体" w:hAnsi="宋体" w:eastAsia="宋体" w:cs="宋体"/>
                <w:sz w:val="24"/>
                <w:szCs w:val="24"/>
              </w:rPr>
            </w:pPr>
          </w:p>
        </w:tc>
        <w:tc>
          <w:tcPr>
            <w:tcW w:w="435" w:type="pct"/>
            <w:vAlign w:val="center"/>
          </w:tcPr>
          <w:p w14:paraId="62371804">
            <w:pPr>
              <w:jc w:val="center"/>
              <w:rPr>
                <w:rFonts w:hint="eastAsia" w:ascii="宋体" w:hAnsi="宋体" w:eastAsia="宋体" w:cs="宋体"/>
                <w:sz w:val="24"/>
                <w:szCs w:val="24"/>
              </w:rPr>
            </w:pPr>
          </w:p>
        </w:tc>
        <w:tc>
          <w:tcPr>
            <w:tcW w:w="356" w:type="pct"/>
            <w:vAlign w:val="center"/>
          </w:tcPr>
          <w:p w14:paraId="27705AE4">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439" w:type="pct"/>
            <w:vAlign w:val="center"/>
          </w:tcPr>
          <w:p w14:paraId="5DD3E5F4">
            <w:pPr>
              <w:jc w:val="center"/>
              <w:rPr>
                <w:rFonts w:hint="eastAsia" w:ascii="宋体" w:hAnsi="宋体" w:eastAsia="宋体" w:cs="宋体"/>
                <w:sz w:val="24"/>
                <w:szCs w:val="24"/>
              </w:rPr>
            </w:pPr>
          </w:p>
        </w:tc>
      </w:tr>
      <w:tr w14:paraId="15520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09" w:type="pct"/>
            <w:vAlign w:val="center"/>
          </w:tcPr>
          <w:p w14:paraId="3B6E3B6F">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6</w:t>
            </w:r>
          </w:p>
        </w:tc>
        <w:tc>
          <w:tcPr>
            <w:tcW w:w="625" w:type="pct"/>
            <w:vAlign w:val="center"/>
          </w:tcPr>
          <w:p w14:paraId="445E010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color w:val="auto"/>
                <w:highlight w:val="none"/>
                <w:lang w:eastAsia="zh-CN" w:bidi="zh-CN"/>
              </w:rPr>
              <w:t>生物安全柜</w:t>
            </w:r>
          </w:p>
        </w:tc>
        <w:tc>
          <w:tcPr>
            <w:tcW w:w="382" w:type="pct"/>
            <w:vAlign w:val="center"/>
          </w:tcPr>
          <w:p w14:paraId="5DD27D73">
            <w:pPr>
              <w:jc w:val="center"/>
              <w:rPr>
                <w:rFonts w:hint="eastAsia" w:ascii="宋体" w:hAnsi="宋体" w:eastAsia="宋体" w:cs="宋体"/>
                <w:sz w:val="24"/>
                <w:szCs w:val="24"/>
              </w:rPr>
            </w:pPr>
          </w:p>
        </w:tc>
        <w:tc>
          <w:tcPr>
            <w:tcW w:w="401" w:type="pct"/>
            <w:vAlign w:val="center"/>
          </w:tcPr>
          <w:p w14:paraId="364F51FF">
            <w:pPr>
              <w:jc w:val="center"/>
              <w:rPr>
                <w:rFonts w:hint="eastAsia" w:ascii="宋体" w:hAnsi="宋体" w:eastAsia="宋体" w:cs="宋体"/>
                <w:sz w:val="24"/>
                <w:szCs w:val="24"/>
              </w:rPr>
            </w:pPr>
          </w:p>
        </w:tc>
        <w:tc>
          <w:tcPr>
            <w:tcW w:w="742" w:type="pct"/>
            <w:vAlign w:val="center"/>
          </w:tcPr>
          <w:p w14:paraId="4AC80563">
            <w:pPr>
              <w:jc w:val="center"/>
              <w:rPr>
                <w:rFonts w:hint="eastAsia" w:ascii="宋体" w:hAnsi="宋体" w:eastAsia="宋体" w:cs="宋体"/>
                <w:sz w:val="24"/>
                <w:szCs w:val="24"/>
              </w:rPr>
            </w:pPr>
          </w:p>
        </w:tc>
        <w:tc>
          <w:tcPr>
            <w:tcW w:w="337" w:type="pct"/>
            <w:vAlign w:val="center"/>
          </w:tcPr>
          <w:p w14:paraId="7F4572CE">
            <w:pPr>
              <w:jc w:val="center"/>
              <w:rPr>
                <w:rFonts w:hint="eastAsia" w:ascii="宋体" w:hAnsi="宋体" w:eastAsia="宋体" w:cs="宋体"/>
                <w:sz w:val="24"/>
                <w:szCs w:val="24"/>
              </w:rPr>
            </w:pPr>
          </w:p>
        </w:tc>
        <w:tc>
          <w:tcPr>
            <w:tcW w:w="535" w:type="pct"/>
            <w:vAlign w:val="center"/>
          </w:tcPr>
          <w:p w14:paraId="43E2C207">
            <w:pPr>
              <w:jc w:val="center"/>
              <w:rPr>
                <w:rFonts w:hint="eastAsia" w:ascii="宋体" w:hAnsi="宋体" w:eastAsia="宋体" w:cs="宋体"/>
                <w:sz w:val="24"/>
                <w:szCs w:val="24"/>
              </w:rPr>
            </w:pPr>
          </w:p>
        </w:tc>
        <w:tc>
          <w:tcPr>
            <w:tcW w:w="533" w:type="pct"/>
            <w:vAlign w:val="center"/>
          </w:tcPr>
          <w:p w14:paraId="1F1EC0F2">
            <w:pPr>
              <w:jc w:val="center"/>
              <w:rPr>
                <w:rFonts w:hint="eastAsia" w:ascii="宋体" w:hAnsi="宋体" w:eastAsia="宋体" w:cs="宋体"/>
                <w:sz w:val="24"/>
                <w:szCs w:val="24"/>
              </w:rPr>
            </w:pPr>
          </w:p>
        </w:tc>
        <w:tc>
          <w:tcPr>
            <w:tcW w:w="435" w:type="pct"/>
            <w:vAlign w:val="center"/>
          </w:tcPr>
          <w:p w14:paraId="51684825">
            <w:pPr>
              <w:jc w:val="center"/>
              <w:rPr>
                <w:rFonts w:hint="eastAsia" w:ascii="宋体" w:hAnsi="宋体" w:eastAsia="宋体" w:cs="宋体"/>
                <w:sz w:val="24"/>
                <w:szCs w:val="24"/>
              </w:rPr>
            </w:pPr>
          </w:p>
        </w:tc>
        <w:tc>
          <w:tcPr>
            <w:tcW w:w="356" w:type="pct"/>
            <w:vAlign w:val="center"/>
          </w:tcPr>
          <w:p w14:paraId="31D75501">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439" w:type="pct"/>
            <w:vAlign w:val="center"/>
          </w:tcPr>
          <w:p w14:paraId="70030E7F">
            <w:pPr>
              <w:jc w:val="center"/>
              <w:rPr>
                <w:rFonts w:hint="eastAsia" w:ascii="宋体" w:hAnsi="宋体" w:eastAsia="宋体" w:cs="宋体"/>
                <w:sz w:val="24"/>
                <w:szCs w:val="24"/>
              </w:rPr>
            </w:pPr>
          </w:p>
        </w:tc>
      </w:tr>
      <w:tr w14:paraId="76AE7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209" w:type="pct"/>
            <w:vAlign w:val="center"/>
          </w:tcPr>
          <w:p w14:paraId="32D3189D">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7</w:t>
            </w:r>
          </w:p>
        </w:tc>
        <w:tc>
          <w:tcPr>
            <w:tcW w:w="625" w:type="pct"/>
            <w:vAlign w:val="center"/>
          </w:tcPr>
          <w:p w14:paraId="658EBAF9">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color w:val="auto"/>
                <w:highlight w:val="none"/>
                <w:lang w:eastAsia="zh-CN" w:bidi="zh-CN"/>
              </w:rPr>
              <w:t>数字化摄影X射线机（DR）</w:t>
            </w:r>
          </w:p>
        </w:tc>
        <w:tc>
          <w:tcPr>
            <w:tcW w:w="382" w:type="pct"/>
            <w:vAlign w:val="center"/>
          </w:tcPr>
          <w:p w14:paraId="53442EDC">
            <w:pPr>
              <w:jc w:val="center"/>
              <w:rPr>
                <w:rFonts w:hint="eastAsia" w:ascii="宋体" w:hAnsi="宋体" w:eastAsia="宋体" w:cs="宋体"/>
                <w:sz w:val="24"/>
                <w:szCs w:val="24"/>
              </w:rPr>
            </w:pPr>
          </w:p>
        </w:tc>
        <w:tc>
          <w:tcPr>
            <w:tcW w:w="401" w:type="pct"/>
            <w:vAlign w:val="center"/>
          </w:tcPr>
          <w:p w14:paraId="6C51D9C1">
            <w:pPr>
              <w:jc w:val="center"/>
              <w:rPr>
                <w:rFonts w:hint="eastAsia" w:ascii="宋体" w:hAnsi="宋体" w:eastAsia="宋体" w:cs="宋体"/>
                <w:sz w:val="24"/>
                <w:szCs w:val="24"/>
              </w:rPr>
            </w:pPr>
          </w:p>
        </w:tc>
        <w:tc>
          <w:tcPr>
            <w:tcW w:w="742" w:type="pct"/>
            <w:vAlign w:val="center"/>
          </w:tcPr>
          <w:p w14:paraId="3B1FC51F">
            <w:pPr>
              <w:jc w:val="center"/>
              <w:rPr>
                <w:rFonts w:hint="eastAsia" w:ascii="宋体" w:hAnsi="宋体" w:eastAsia="宋体" w:cs="宋体"/>
                <w:sz w:val="24"/>
                <w:szCs w:val="24"/>
              </w:rPr>
            </w:pPr>
          </w:p>
        </w:tc>
        <w:tc>
          <w:tcPr>
            <w:tcW w:w="337" w:type="pct"/>
            <w:vAlign w:val="center"/>
          </w:tcPr>
          <w:p w14:paraId="6058F6CA">
            <w:pPr>
              <w:jc w:val="center"/>
              <w:rPr>
                <w:rFonts w:hint="eastAsia" w:ascii="宋体" w:hAnsi="宋体" w:eastAsia="宋体" w:cs="宋体"/>
                <w:sz w:val="24"/>
                <w:szCs w:val="24"/>
              </w:rPr>
            </w:pPr>
          </w:p>
        </w:tc>
        <w:tc>
          <w:tcPr>
            <w:tcW w:w="535" w:type="pct"/>
            <w:vAlign w:val="center"/>
          </w:tcPr>
          <w:p w14:paraId="3423B8BB">
            <w:pPr>
              <w:jc w:val="center"/>
              <w:rPr>
                <w:rFonts w:hint="eastAsia" w:ascii="宋体" w:hAnsi="宋体" w:eastAsia="宋体" w:cs="宋体"/>
                <w:sz w:val="24"/>
                <w:szCs w:val="24"/>
              </w:rPr>
            </w:pPr>
          </w:p>
        </w:tc>
        <w:tc>
          <w:tcPr>
            <w:tcW w:w="533" w:type="pct"/>
            <w:vAlign w:val="center"/>
          </w:tcPr>
          <w:p w14:paraId="20660A56">
            <w:pPr>
              <w:jc w:val="center"/>
              <w:rPr>
                <w:rFonts w:hint="eastAsia" w:ascii="宋体" w:hAnsi="宋体" w:eastAsia="宋体" w:cs="宋体"/>
                <w:sz w:val="24"/>
                <w:szCs w:val="24"/>
              </w:rPr>
            </w:pPr>
          </w:p>
        </w:tc>
        <w:tc>
          <w:tcPr>
            <w:tcW w:w="435" w:type="pct"/>
            <w:vAlign w:val="center"/>
          </w:tcPr>
          <w:p w14:paraId="3B634541">
            <w:pPr>
              <w:jc w:val="center"/>
              <w:rPr>
                <w:rFonts w:hint="eastAsia" w:ascii="宋体" w:hAnsi="宋体" w:eastAsia="宋体" w:cs="宋体"/>
                <w:sz w:val="24"/>
                <w:szCs w:val="24"/>
              </w:rPr>
            </w:pPr>
          </w:p>
        </w:tc>
        <w:tc>
          <w:tcPr>
            <w:tcW w:w="356" w:type="pct"/>
            <w:vAlign w:val="center"/>
          </w:tcPr>
          <w:p w14:paraId="0E775585">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snapToGrid w:val="0"/>
                <w:color w:val="000000"/>
                <w:kern w:val="0"/>
                <w:sz w:val="22"/>
                <w:szCs w:val="22"/>
                <w:u w:val="none"/>
                <w:lang w:val="en-US" w:eastAsia="zh-CN" w:bidi="ar"/>
              </w:rPr>
              <w:t>1</w:t>
            </w:r>
          </w:p>
        </w:tc>
        <w:tc>
          <w:tcPr>
            <w:tcW w:w="439" w:type="pct"/>
            <w:vAlign w:val="center"/>
          </w:tcPr>
          <w:p w14:paraId="32440B13">
            <w:pPr>
              <w:jc w:val="center"/>
              <w:rPr>
                <w:rFonts w:hint="eastAsia" w:ascii="宋体" w:hAnsi="宋体" w:eastAsia="宋体" w:cs="宋体"/>
                <w:sz w:val="24"/>
                <w:szCs w:val="24"/>
              </w:rPr>
            </w:pPr>
          </w:p>
        </w:tc>
      </w:tr>
      <w:tr w14:paraId="7C8F5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5000" w:type="pct"/>
            <w:gridSpan w:val="11"/>
            <w:vAlign w:val="center"/>
          </w:tcPr>
          <w:p w14:paraId="441489C6">
            <w:pPr>
              <w:jc w:val="center"/>
              <w:rPr>
                <w:rFonts w:hint="default" w:ascii="宋体" w:hAnsi="宋体" w:eastAsia="宋体" w:cs="宋体"/>
                <w:sz w:val="24"/>
                <w:szCs w:val="24"/>
                <w:lang w:val="en-US" w:eastAsia="zh-CN"/>
              </w:rPr>
            </w:pPr>
            <w:r>
              <w:rPr>
                <w:rFonts w:hint="eastAsia" w:ascii="宋体" w:hAnsi="宋体" w:eastAsia="宋体" w:cs="宋体"/>
                <w:sz w:val="24"/>
                <w:szCs w:val="24"/>
              </w:rPr>
              <w:t>总价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大写：          （小写：      ）</w:t>
            </w:r>
          </w:p>
        </w:tc>
      </w:tr>
    </w:tbl>
    <w:p w14:paraId="1B8A42BF">
      <w:pPr>
        <w:pStyle w:val="2"/>
        <w:spacing w:before="103" w:line="196" w:lineRule="auto"/>
        <w:ind w:left="118"/>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注：上述报价均为含税报价。</w:t>
      </w:r>
    </w:p>
    <w:p w14:paraId="50A15CBA">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z w:val="24"/>
          <w:szCs w:val="24"/>
          <w:u w:val="single" w:color="auto"/>
        </w:rPr>
        <w:t xml:space="preserve">                     </w:t>
      </w:r>
    </w:p>
    <w:p w14:paraId="17B57B6A">
      <w:pPr>
        <w:pStyle w:val="2"/>
        <w:spacing w:before="211" w:line="200" w:lineRule="auto"/>
        <w:ind w:left="169"/>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3"/>
          <w:sz w:val="24"/>
          <w:szCs w:val="24"/>
        </w:rPr>
        <w:t>日</w:t>
      </w:r>
    </w:p>
    <w:p w14:paraId="09440DE1">
      <w:pPr>
        <w:spacing w:line="193" w:lineRule="auto"/>
        <w:rPr>
          <w:rFonts w:hint="eastAsia" w:ascii="宋体" w:hAnsi="宋体" w:eastAsia="宋体" w:cs="宋体"/>
          <w:sz w:val="24"/>
          <w:szCs w:val="24"/>
        </w:rPr>
        <w:sectPr>
          <w:headerReference r:id="rId29" w:type="default"/>
          <w:footerReference r:id="rId30" w:type="default"/>
          <w:pgSz w:w="16838" w:h="11905" w:orient="landscape"/>
          <w:pgMar w:top="1417" w:right="1361" w:bottom="1417" w:left="1247" w:header="839" w:footer="884" w:gutter="0"/>
          <w:pgNumType w:fmt="numberInDash"/>
          <w:cols w:space="0" w:num="1"/>
          <w:rtlGutter w:val="0"/>
          <w:docGrid w:linePitch="0" w:charSpace="0"/>
        </w:sectPr>
      </w:pPr>
    </w:p>
    <w:p w14:paraId="2796B3A3">
      <w:pPr>
        <w:pStyle w:val="2"/>
        <w:keepNext w:val="0"/>
        <w:keepLines w:val="0"/>
        <w:pageBreakBefore w:val="0"/>
        <w:widowControl/>
        <w:kinsoku w:val="0"/>
        <w:wordWrap/>
        <w:overflowPunct/>
        <w:topLinePunct w:val="0"/>
        <w:autoSpaceDE w:val="0"/>
        <w:autoSpaceDN w:val="0"/>
        <w:bidi w:val="0"/>
        <w:adjustRightInd w:val="0"/>
        <w:snapToGrid w:val="0"/>
        <w:spacing w:before="273" w:line="202" w:lineRule="auto"/>
        <w:ind w:left="28"/>
        <w:textAlignment w:val="baseline"/>
        <w:outlineLvl w:val="2"/>
        <w:rPr>
          <w:rFonts w:hint="eastAsia" w:ascii="宋体" w:hAnsi="宋体" w:eastAsia="宋体" w:cs="宋体"/>
          <w:sz w:val="24"/>
          <w:szCs w:val="24"/>
        </w:rPr>
      </w:pPr>
      <w:bookmarkStart w:id="158" w:name="_Toc2207"/>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合同条款偏离表（实质性格式）</w:t>
      </w:r>
      <w:bookmarkEnd w:id="158"/>
    </w:p>
    <w:p w14:paraId="3BE02129">
      <w:pPr>
        <w:pStyle w:val="2"/>
        <w:spacing w:before="150" w:line="205" w:lineRule="auto"/>
        <w:ind w:left="3390"/>
        <w:rPr>
          <w:rFonts w:hint="eastAsia" w:ascii="宋体" w:hAnsi="宋体" w:eastAsia="宋体" w:cs="宋体"/>
          <w:sz w:val="24"/>
          <w:szCs w:val="24"/>
        </w:rPr>
      </w:pPr>
      <w:r>
        <w:rPr>
          <w:rFonts w:hint="eastAsia" w:ascii="宋体" w:hAnsi="宋体" w:eastAsia="宋体" w:cs="宋体"/>
          <w:b/>
          <w:bCs/>
          <w:spacing w:val="10"/>
          <w:sz w:val="24"/>
          <w:szCs w:val="24"/>
        </w:rPr>
        <w:t>合同条款偏离表</w:t>
      </w:r>
    </w:p>
    <w:p w14:paraId="34C013EE">
      <w:pPr>
        <w:pStyle w:val="2"/>
        <w:spacing w:before="103" w:line="200" w:lineRule="auto"/>
        <w:ind w:left="0" w:leftChars="0" w:firstLine="0" w:firstLineChars="0"/>
        <w:rPr>
          <w:rFonts w:hint="eastAsia" w:ascii="宋体" w:hAnsi="宋体" w:eastAsia="宋体" w:cs="宋体"/>
          <w:spacing w:val="-1"/>
          <w:sz w:val="24"/>
          <w:szCs w:val="24"/>
        </w:rPr>
      </w:pPr>
      <w:r>
        <w:rPr>
          <w:rFonts w:hint="eastAsia" w:ascii="宋体" w:hAnsi="宋体" w:eastAsia="宋体" w:cs="宋体"/>
          <w:spacing w:val="-1"/>
          <w:sz w:val="24"/>
          <w:szCs w:val="24"/>
        </w:rPr>
        <w:t>项目编号/包号：</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w:t>
      </w:r>
    </w:p>
    <w:p w14:paraId="1072DF74">
      <w:pPr>
        <w:pStyle w:val="2"/>
        <w:spacing w:before="103" w:line="200" w:lineRule="auto"/>
        <w:ind w:left="0" w:leftChars="0" w:firstLine="0" w:firstLineChars="0"/>
        <w:rPr>
          <w:rFonts w:hint="eastAsia" w:ascii="宋体" w:hAnsi="宋体" w:eastAsia="宋体" w:cs="宋体"/>
          <w:sz w:val="24"/>
          <w:szCs w:val="24"/>
        </w:rPr>
      </w:pPr>
      <w:r>
        <w:rPr>
          <w:rFonts w:hint="eastAsia" w:ascii="宋体" w:hAnsi="宋体" w:eastAsia="宋体" w:cs="宋体"/>
          <w:spacing w:val="-1"/>
          <w:sz w:val="24"/>
          <w:szCs w:val="24"/>
        </w:rPr>
        <w:t>项目名称：</w:t>
      </w:r>
      <w:r>
        <w:rPr>
          <w:rFonts w:hint="eastAsia" w:ascii="宋体" w:hAnsi="宋体" w:eastAsia="宋体" w:cs="宋体"/>
          <w:spacing w:val="-1"/>
          <w:sz w:val="24"/>
          <w:szCs w:val="24"/>
          <w:u w:val="single" w:color="auto"/>
        </w:rPr>
        <w:t xml:space="preserve">                       </w:t>
      </w:r>
    </w:p>
    <w:p w14:paraId="6548C0CE">
      <w:pPr>
        <w:spacing w:line="138" w:lineRule="exact"/>
        <w:rPr>
          <w:rFonts w:hint="eastAsia" w:ascii="宋体" w:hAnsi="宋体" w:eastAsia="宋体" w:cs="宋体"/>
          <w:sz w:val="24"/>
          <w:szCs w:val="24"/>
        </w:rPr>
      </w:pPr>
    </w:p>
    <w:tbl>
      <w:tblPr>
        <w:tblStyle w:val="20"/>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01FC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43AF440B">
            <w:pPr>
              <w:spacing w:before="336" w:line="201" w:lineRule="auto"/>
              <w:ind w:left="341"/>
              <w:rPr>
                <w:rFonts w:hint="eastAsia" w:ascii="宋体" w:hAnsi="宋体" w:eastAsia="宋体" w:cs="宋体"/>
                <w:sz w:val="24"/>
                <w:szCs w:val="24"/>
              </w:rPr>
            </w:pPr>
            <w:r>
              <w:rPr>
                <w:rFonts w:hint="eastAsia" w:ascii="宋体" w:hAnsi="宋体" w:eastAsia="宋体" w:cs="宋体"/>
                <w:spacing w:val="-3"/>
                <w:sz w:val="24"/>
                <w:szCs w:val="24"/>
              </w:rPr>
              <w:t>序号</w:t>
            </w:r>
          </w:p>
        </w:tc>
        <w:tc>
          <w:tcPr>
            <w:tcW w:w="1772" w:type="dxa"/>
            <w:vAlign w:val="top"/>
          </w:tcPr>
          <w:p w14:paraId="40D847CE">
            <w:pPr>
              <w:spacing w:before="161" w:line="210" w:lineRule="auto"/>
              <w:ind w:left="287" w:right="165" w:hanging="121"/>
              <w:rPr>
                <w:rFonts w:hint="eastAsia" w:ascii="宋体" w:hAnsi="宋体" w:eastAsia="宋体" w:cs="宋体"/>
                <w:sz w:val="24"/>
                <w:szCs w:val="24"/>
              </w:rPr>
            </w:pPr>
            <w:r>
              <w:rPr>
                <w:rFonts w:hint="eastAsia" w:ascii="宋体" w:hAnsi="宋体" w:eastAsia="宋体" w:cs="宋体"/>
                <w:spacing w:val="-1"/>
                <w:sz w:val="24"/>
                <w:szCs w:val="24"/>
              </w:rPr>
              <w:t>招标文件条目</w:t>
            </w:r>
            <w:r>
              <w:rPr>
                <w:rFonts w:hint="eastAsia" w:ascii="宋体" w:hAnsi="宋体" w:eastAsia="宋体" w:cs="宋体"/>
                <w:sz w:val="24"/>
                <w:szCs w:val="24"/>
              </w:rPr>
              <w:t>号（页码）</w:t>
            </w:r>
          </w:p>
        </w:tc>
        <w:tc>
          <w:tcPr>
            <w:tcW w:w="1675" w:type="dxa"/>
            <w:vAlign w:val="top"/>
          </w:tcPr>
          <w:p w14:paraId="1E32253B">
            <w:pPr>
              <w:spacing w:before="336" w:line="201" w:lineRule="auto"/>
              <w:ind w:left="119"/>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675" w:type="dxa"/>
            <w:vAlign w:val="top"/>
          </w:tcPr>
          <w:p w14:paraId="177B38B8">
            <w:pPr>
              <w:spacing w:before="337" w:line="201" w:lineRule="auto"/>
              <w:ind w:left="120"/>
              <w:rPr>
                <w:rFonts w:hint="eastAsia" w:ascii="宋体" w:hAnsi="宋体" w:eastAsia="宋体" w:cs="宋体"/>
                <w:sz w:val="24"/>
                <w:szCs w:val="24"/>
              </w:rPr>
            </w:pPr>
            <w:r>
              <w:rPr>
                <w:rFonts w:hint="eastAsia" w:ascii="宋体" w:hAnsi="宋体" w:eastAsia="宋体" w:cs="宋体"/>
                <w:spacing w:val="-1"/>
                <w:sz w:val="24"/>
                <w:szCs w:val="24"/>
              </w:rPr>
              <w:t>投标文件内容</w:t>
            </w:r>
          </w:p>
        </w:tc>
        <w:tc>
          <w:tcPr>
            <w:tcW w:w="1874" w:type="dxa"/>
            <w:vAlign w:val="top"/>
          </w:tcPr>
          <w:p w14:paraId="35453DD7">
            <w:pPr>
              <w:spacing w:before="337" w:line="201" w:lineRule="auto"/>
              <w:ind w:left="459"/>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1137" w:type="dxa"/>
            <w:vAlign w:val="top"/>
          </w:tcPr>
          <w:p w14:paraId="53BF5749">
            <w:pPr>
              <w:spacing w:before="336" w:line="201" w:lineRule="auto"/>
              <w:ind w:left="327"/>
              <w:rPr>
                <w:rFonts w:hint="eastAsia" w:ascii="宋体" w:hAnsi="宋体" w:eastAsia="宋体" w:cs="宋体"/>
                <w:sz w:val="24"/>
                <w:szCs w:val="24"/>
              </w:rPr>
            </w:pPr>
            <w:r>
              <w:rPr>
                <w:rFonts w:hint="eastAsia" w:ascii="宋体" w:hAnsi="宋体" w:eastAsia="宋体" w:cs="宋体"/>
                <w:spacing w:val="-2"/>
                <w:sz w:val="24"/>
                <w:szCs w:val="24"/>
              </w:rPr>
              <w:t>说明</w:t>
            </w:r>
          </w:p>
        </w:tc>
      </w:tr>
      <w:tr w14:paraId="7519F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169A79ED">
            <w:pPr>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投标无效</w:t>
            </w:r>
            <w:r>
              <w:rPr>
                <w:rFonts w:hint="eastAsia" w:ascii="宋体" w:hAnsi="宋体" w:eastAsia="宋体" w:cs="宋体"/>
                <w:spacing w:val="-34"/>
                <w:sz w:val="24"/>
                <w:szCs w:val="24"/>
              </w:rPr>
              <w:t>）：</w:t>
            </w:r>
          </w:p>
          <w:p w14:paraId="2BBBEFC4">
            <w:pPr>
              <w:pStyle w:val="21"/>
              <w:spacing w:before="11" w:line="203"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对合同条款中的所有要求，均视</w:t>
            </w:r>
            <w:r>
              <w:rPr>
                <w:rFonts w:hint="eastAsia" w:ascii="宋体" w:hAnsi="宋体" w:eastAsia="宋体" w:cs="宋体"/>
                <w:spacing w:val="-5"/>
                <w:sz w:val="24"/>
                <w:szCs w:val="24"/>
              </w:rPr>
              <w:t>作供应商已对之理解和响应。）</w:t>
            </w:r>
          </w:p>
          <w:p w14:paraId="521C4CFE">
            <w:pPr>
              <w:pStyle w:val="21"/>
              <w:spacing w:before="2" w:line="188"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投标无效</w:t>
            </w:r>
            <w:r>
              <w:rPr>
                <w:rFonts w:hint="eastAsia" w:ascii="宋体" w:hAnsi="宋体" w:eastAsia="宋体" w:cs="宋体"/>
                <w:sz w:val="24"/>
                <w:szCs w:val="24"/>
              </w:rPr>
              <w:t>；对合同条款</w:t>
            </w:r>
            <w:r>
              <w:rPr>
                <w:rFonts w:hint="eastAsia" w:ascii="宋体" w:hAnsi="宋体" w:eastAsia="宋体" w:cs="宋体"/>
                <w:spacing w:val="-5"/>
                <w:sz w:val="24"/>
                <w:szCs w:val="24"/>
              </w:rPr>
              <w:t>中的所有要求，除本表列明的偏离外，均视作供应商已对之理解</w:t>
            </w:r>
            <w:r>
              <w:rPr>
                <w:rFonts w:hint="eastAsia" w:ascii="宋体" w:hAnsi="宋体" w:eastAsia="宋体" w:cs="宋体"/>
                <w:spacing w:val="-6"/>
                <w:sz w:val="24"/>
                <w:szCs w:val="24"/>
              </w:rPr>
              <w:t>和响应。）</w:t>
            </w:r>
          </w:p>
        </w:tc>
      </w:tr>
      <w:tr w14:paraId="329C6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3AE56DF0">
            <w:pPr>
              <w:pStyle w:val="21"/>
              <w:rPr>
                <w:rFonts w:hint="eastAsia" w:ascii="宋体" w:hAnsi="宋体" w:eastAsia="宋体" w:cs="宋体"/>
                <w:sz w:val="24"/>
                <w:szCs w:val="24"/>
              </w:rPr>
            </w:pPr>
          </w:p>
        </w:tc>
        <w:tc>
          <w:tcPr>
            <w:tcW w:w="1772" w:type="dxa"/>
            <w:vAlign w:val="top"/>
          </w:tcPr>
          <w:p w14:paraId="0DFC008F">
            <w:pPr>
              <w:pStyle w:val="21"/>
              <w:rPr>
                <w:rFonts w:hint="eastAsia" w:ascii="宋体" w:hAnsi="宋体" w:eastAsia="宋体" w:cs="宋体"/>
                <w:sz w:val="24"/>
                <w:szCs w:val="24"/>
              </w:rPr>
            </w:pPr>
          </w:p>
        </w:tc>
        <w:tc>
          <w:tcPr>
            <w:tcW w:w="1675" w:type="dxa"/>
            <w:vAlign w:val="top"/>
          </w:tcPr>
          <w:p w14:paraId="5C22F642">
            <w:pPr>
              <w:pStyle w:val="21"/>
              <w:rPr>
                <w:rFonts w:hint="eastAsia" w:ascii="宋体" w:hAnsi="宋体" w:eastAsia="宋体" w:cs="宋体"/>
                <w:sz w:val="24"/>
                <w:szCs w:val="24"/>
              </w:rPr>
            </w:pPr>
          </w:p>
        </w:tc>
        <w:tc>
          <w:tcPr>
            <w:tcW w:w="1675" w:type="dxa"/>
            <w:vAlign w:val="top"/>
          </w:tcPr>
          <w:p w14:paraId="7613C10C">
            <w:pPr>
              <w:pStyle w:val="21"/>
              <w:rPr>
                <w:rFonts w:hint="eastAsia" w:ascii="宋体" w:hAnsi="宋体" w:eastAsia="宋体" w:cs="宋体"/>
                <w:sz w:val="24"/>
                <w:szCs w:val="24"/>
              </w:rPr>
            </w:pPr>
          </w:p>
        </w:tc>
        <w:tc>
          <w:tcPr>
            <w:tcW w:w="1874" w:type="dxa"/>
            <w:vAlign w:val="top"/>
          </w:tcPr>
          <w:p w14:paraId="6BC9535C">
            <w:pPr>
              <w:pStyle w:val="21"/>
              <w:rPr>
                <w:rFonts w:hint="eastAsia" w:ascii="宋体" w:hAnsi="宋体" w:eastAsia="宋体" w:cs="宋体"/>
                <w:sz w:val="24"/>
                <w:szCs w:val="24"/>
              </w:rPr>
            </w:pPr>
          </w:p>
        </w:tc>
        <w:tc>
          <w:tcPr>
            <w:tcW w:w="1137" w:type="dxa"/>
            <w:vAlign w:val="top"/>
          </w:tcPr>
          <w:p w14:paraId="3CCF156D">
            <w:pPr>
              <w:pStyle w:val="21"/>
              <w:rPr>
                <w:rFonts w:hint="eastAsia" w:ascii="宋体" w:hAnsi="宋体" w:eastAsia="宋体" w:cs="宋体"/>
                <w:sz w:val="24"/>
                <w:szCs w:val="24"/>
              </w:rPr>
            </w:pPr>
          </w:p>
        </w:tc>
      </w:tr>
      <w:tr w14:paraId="37205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22FB6929">
            <w:pPr>
              <w:pStyle w:val="21"/>
              <w:rPr>
                <w:rFonts w:hint="eastAsia" w:ascii="宋体" w:hAnsi="宋体" w:eastAsia="宋体" w:cs="宋体"/>
                <w:sz w:val="24"/>
                <w:szCs w:val="24"/>
              </w:rPr>
            </w:pPr>
          </w:p>
        </w:tc>
        <w:tc>
          <w:tcPr>
            <w:tcW w:w="1772" w:type="dxa"/>
            <w:vAlign w:val="top"/>
          </w:tcPr>
          <w:p w14:paraId="7538BF4F">
            <w:pPr>
              <w:pStyle w:val="21"/>
              <w:rPr>
                <w:rFonts w:hint="eastAsia" w:ascii="宋体" w:hAnsi="宋体" w:eastAsia="宋体" w:cs="宋体"/>
                <w:sz w:val="24"/>
                <w:szCs w:val="24"/>
              </w:rPr>
            </w:pPr>
          </w:p>
        </w:tc>
        <w:tc>
          <w:tcPr>
            <w:tcW w:w="1675" w:type="dxa"/>
            <w:vAlign w:val="top"/>
          </w:tcPr>
          <w:p w14:paraId="5A92585C">
            <w:pPr>
              <w:pStyle w:val="21"/>
              <w:rPr>
                <w:rFonts w:hint="eastAsia" w:ascii="宋体" w:hAnsi="宋体" w:eastAsia="宋体" w:cs="宋体"/>
                <w:sz w:val="24"/>
                <w:szCs w:val="24"/>
              </w:rPr>
            </w:pPr>
          </w:p>
        </w:tc>
        <w:tc>
          <w:tcPr>
            <w:tcW w:w="1675" w:type="dxa"/>
            <w:vAlign w:val="top"/>
          </w:tcPr>
          <w:p w14:paraId="285D1DE1">
            <w:pPr>
              <w:pStyle w:val="21"/>
              <w:rPr>
                <w:rFonts w:hint="eastAsia" w:ascii="宋体" w:hAnsi="宋体" w:eastAsia="宋体" w:cs="宋体"/>
                <w:sz w:val="24"/>
                <w:szCs w:val="24"/>
              </w:rPr>
            </w:pPr>
          </w:p>
        </w:tc>
        <w:tc>
          <w:tcPr>
            <w:tcW w:w="1874" w:type="dxa"/>
            <w:vAlign w:val="top"/>
          </w:tcPr>
          <w:p w14:paraId="144D2735">
            <w:pPr>
              <w:pStyle w:val="21"/>
              <w:rPr>
                <w:rFonts w:hint="eastAsia" w:ascii="宋体" w:hAnsi="宋体" w:eastAsia="宋体" w:cs="宋体"/>
                <w:sz w:val="24"/>
                <w:szCs w:val="24"/>
              </w:rPr>
            </w:pPr>
          </w:p>
        </w:tc>
        <w:tc>
          <w:tcPr>
            <w:tcW w:w="1137" w:type="dxa"/>
            <w:vAlign w:val="top"/>
          </w:tcPr>
          <w:p w14:paraId="075A59B1">
            <w:pPr>
              <w:pStyle w:val="21"/>
              <w:rPr>
                <w:rFonts w:hint="eastAsia" w:ascii="宋体" w:hAnsi="宋体" w:eastAsia="宋体" w:cs="宋体"/>
                <w:sz w:val="24"/>
                <w:szCs w:val="24"/>
              </w:rPr>
            </w:pPr>
          </w:p>
        </w:tc>
      </w:tr>
      <w:tr w14:paraId="695D4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14:paraId="74572B99">
            <w:pPr>
              <w:pStyle w:val="21"/>
              <w:rPr>
                <w:rFonts w:hint="eastAsia" w:ascii="宋体" w:hAnsi="宋体" w:eastAsia="宋体" w:cs="宋体"/>
                <w:sz w:val="24"/>
                <w:szCs w:val="24"/>
              </w:rPr>
            </w:pPr>
          </w:p>
        </w:tc>
        <w:tc>
          <w:tcPr>
            <w:tcW w:w="1772" w:type="dxa"/>
            <w:vAlign w:val="top"/>
          </w:tcPr>
          <w:p w14:paraId="75DBB17C">
            <w:pPr>
              <w:pStyle w:val="21"/>
              <w:rPr>
                <w:rFonts w:hint="eastAsia" w:ascii="宋体" w:hAnsi="宋体" w:eastAsia="宋体" w:cs="宋体"/>
                <w:sz w:val="24"/>
                <w:szCs w:val="24"/>
              </w:rPr>
            </w:pPr>
          </w:p>
        </w:tc>
        <w:tc>
          <w:tcPr>
            <w:tcW w:w="1675" w:type="dxa"/>
            <w:vAlign w:val="top"/>
          </w:tcPr>
          <w:p w14:paraId="6B59B6DC">
            <w:pPr>
              <w:pStyle w:val="21"/>
              <w:rPr>
                <w:rFonts w:hint="eastAsia" w:ascii="宋体" w:hAnsi="宋体" w:eastAsia="宋体" w:cs="宋体"/>
                <w:sz w:val="24"/>
                <w:szCs w:val="24"/>
              </w:rPr>
            </w:pPr>
          </w:p>
        </w:tc>
        <w:tc>
          <w:tcPr>
            <w:tcW w:w="1675" w:type="dxa"/>
            <w:vAlign w:val="top"/>
          </w:tcPr>
          <w:p w14:paraId="2D7664B2">
            <w:pPr>
              <w:pStyle w:val="21"/>
              <w:rPr>
                <w:rFonts w:hint="eastAsia" w:ascii="宋体" w:hAnsi="宋体" w:eastAsia="宋体" w:cs="宋体"/>
                <w:sz w:val="24"/>
                <w:szCs w:val="24"/>
              </w:rPr>
            </w:pPr>
          </w:p>
        </w:tc>
        <w:tc>
          <w:tcPr>
            <w:tcW w:w="1874" w:type="dxa"/>
            <w:vAlign w:val="top"/>
          </w:tcPr>
          <w:p w14:paraId="1F17A57D">
            <w:pPr>
              <w:pStyle w:val="21"/>
              <w:rPr>
                <w:rFonts w:hint="eastAsia" w:ascii="宋体" w:hAnsi="宋体" w:eastAsia="宋体" w:cs="宋体"/>
                <w:sz w:val="24"/>
                <w:szCs w:val="24"/>
              </w:rPr>
            </w:pPr>
          </w:p>
        </w:tc>
        <w:tc>
          <w:tcPr>
            <w:tcW w:w="1137" w:type="dxa"/>
            <w:vAlign w:val="top"/>
          </w:tcPr>
          <w:p w14:paraId="1F47F904">
            <w:pPr>
              <w:pStyle w:val="21"/>
              <w:rPr>
                <w:rFonts w:hint="eastAsia" w:ascii="宋体" w:hAnsi="宋体" w:eastAsia="宋体" w:cs="宋体"/>
                <w:sz w:val="24"/>
                <w:szCs w:val="24"/>
              </w:rPr>
            </w:pPr>
          </w:p>
        </w:tc>
      </w:tr>
      <w:tr w14:paraId="28C7A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14:paraId="10CA08B8">
            <w:pPr>
              <w:pStyle w:val="21"/>
              <w:rPr>
                <w:rFonts w:hint="eastAsia" w:ascii="宋体" w:hAnsi="宋体" w:eastAsia="宋体" w:cs="宋体"/>
                <w:sz w:val="24"/>
                <w:szCs w:val="24"/>
              </w:rPr>
            </w:pPr>
          </w:p>
        </w:tc>
        <w:tc>
          <w:tcPr>
            <w:tcW w:w="1772" w:type="dxa"/>
            <w:vAlign w:val="top"/>
          </w:tcPr>
          <w:p w14:paraId="4427C2FB">
            <w:pPr>
              <w:pStyle w:val="21"/>
              <w:rPr>
                <w:rFonts w:hint="eastAsia" w:ascii="宋体" w:hAnsi="宋体" w:eastAsia="宋体" w:cs="宋体"/>
                <w:sz w:val="24"/>
                <w:szCs w:val="24"/>
              </w:rPr>
            </w:pPr>
          </w:p>
        </w:tc>
        <w:tc>
          <w:tcPr>
            <w:tcW w:w="1675" w:type="dxa"/>
            <w:vAlign w:val="top"/>
          </w:tcPr>
          <w:p w14:paraId="67D5AC34">
            <w:pPr>
              <w:pStyle w:val="21"/>
              <w:rPr>
                <w:rFonts w:hint="eastAsia" w:ascii="宋体" w:hAnsi="宋体" w:eastAsia="宋体" w:cs="宋体"/>
                <w:sz w:val="24"/>
                <w:szCs w:val="24"/>
              </w:rPr>
            </w:pPr>
          </w:p>
        </w:tc>
        <w:tc>
          <w:tcPr>
            <w:tcW w:w="1675" w:type="dxa"/>
            <w:vAlign w:val="top"/>
          </w:tcPr>
          <w:p w14:paraId="337CA408">
            <w:pPr>
              <w:pStyle w:val="21"/>
              <w:rPr>
                <w:rFonts w:hint="eastAsia" w:ascii="宋体" w:hAnsi="宋体" w:eastAsia="宋体" w:cs="宋体"/>
                <w:sz w:val="24"/>
                <w:szCs w:val="24"/>
              </w:rPr>
            </w:pPr>
          </w:p>
        </w:tc>
        <w:tc>
          <w:tcPr>
            <w:tcW w:w="1874" w:type="dxa"/>
            <w:vAlign w:val="top"/>
          </w:tcPr>
          <w:p w14:paraId="5D3097DD">
            <w:pPr>
              <w:pStyle w:val="21"/>
              <w:rPr>
                <w:rFonts w:hint="eastAsia" w:ascii="宋体" w:hAnsi="宋体" w:eastAsia="宋体" w:cs="宋体"/>
                <w:sz w:val="24"/>
                <w:szCs w:val="24"/>
              </w:rPr>
            </w:pPr>
          </w:p>
        </w:tc>
        <w:tc>
          <w:tcPr>
            <w:tcW w:w="1137" w:type="dxa"/>
            <w:vAlign w:val="top"/>
          </w:tcPr>
          <w:p w14:paraId="21F7A3D5">
            <w:pPr>
              <w:pStyle w:val="21"/>
              <w:rPr>
                <w:rFonts w:hint="eastAsia" w:ascii="宋体" w:hAnsi="宋体" w:eastAsia="宋体" w:cs="宋体"/>
                <w:sz w:val="24"/>
                <w:szCs w:val="24"/>
              </w:rPr>
            </w:pPr>
          </w:p>
        </w:tc>
      </w:tr>
    </w:tbl>
    <w:p w14:paraId="5B9E9BCB">
      <w:pPr>
        <w:pStyle w:val="2"/>
        <w:spacing w:before="320" w:line="200" w:lineRule="auto"/>
        <w:ind w:left="123"/>
        <w:rPr>
          <w:rFonts w:hint="eastAsia" w:ascii="宋体" w:hAnsi="宋体" w:eastAsia="宋体" w:cs="宋体"/>
          <w:sz w:val="24"/>
          <w:szCs w:val="24"/>
        </w:rPr>
      </w:pPr>
      <w:r>
        <w:rPr>
          <w:rFonts w:hint="eastAsia" w:ascii="宋体" w:hAnsi="宋体" w:eastAsia="宋体" w:cs="宋体"/>
          <w:spacing w:val="4"/>
          <w:sz w:val="24"/>
          <w:szCs w:val="24"/>
        </w:rPr>
        <w:t>注：“偏离情况”列应据实填写“正偏离”或“负偏离”。</w:t>
      </w:r>
    </w:p>
    <w:p w14:paraId="4465CF7C">
      <w:pPr>
        <w:spacing w:line="261" w:lineRule="auto"/>
        <w:rPr>
          <w:rFonts w:hint="eastAsia" w:ascii="宋体" w:hAnsi="宋体" w:eastAsia="宋体" w:cs="宋体"/>
          <w:sz w:val="24"/>
          <w:szCs w:val="24"/>
        </w:rPr>
      </w:pPr>
    </w:p>
    <w:p w14:paraId="256A2D28">
      <w:pPr>
        <w:spacing w:line="261" w:lineRule="auto"/>
        <w:rPr>
          <w:rFonts w:hint="eastAsia" w:ascii="宋体" w:hAnsi="宋体" w:eastAsia="宋体" w:cs="宋体"/>
          <w:sz w:val="24"/>
          <w:szCs w:val="24"/>
        </w:rPr>
      </w:pPr>
    </w:p>
    <w:p w14:paraId="3B5126D6">
      <w:pPr>
        <w:spacing w:line="262" w:lineRule="auto"/>
        <w:rPr>
          <w:rFonts w:hint="eastAsia" w:ascii="宋体" w:hAnsi="宋体" w:eastAsia="宋体" w:cs="宋体"/>
          <w:sz w:val="24"/>
          <w:szCs w:val="24"/>
        </w:rPr>
      </w:pPr>
    </w:p>
    <w:p w14:paraId="4D6C9BA5">
      <w:pPr>
        <w:pStyle w:val="2"/>
        <w:spacing w:before="103" w:line="196" w:lineRule="auto"/>
        <w:ind w:left="118"/>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pacing w:val="8"/>
          <w:sz w:val="24"/>
          <w:szCs w:val="24"/>
        </w:rPr>
        <w:t xml:space="preserve"> </w:t>
      </w:r>
      <w:r>
        <w:rPr>
          <w:rFonts w:hint="eastAsia" w:ascii="宋体" w:hAnsi="宋体" w:eastAsia="宋体" w:cs="宋体"/>
          <w:sz w:val="24"/>
          <w:szCs w:val="24"/>
          <w:u w:val="single" w:color="auto"/>
        </w:rPr>
        <w:t xml:space="preserve">                     </w:t>
      </w:r>
    </w:p>
    <w:p w14:paraId="7AA6AF4F">
      <w:pPr>
        <w:pStyle w:val="2"/>
        <w:spacing w:before="211" w:line="200" w:lineRule="auto"/>
        <w:ind w:left="169"/>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3"/>
          <w:sz w:val="24"/>
          <w:szCs w:val="24"/>
        </w:rPr>
        <w:t>日</w:t>
      </w:r>
    </w:p>
    <w:p w14:paraId="28DB35D0">
      <w:pPr>
        <w:spacing w:line="200" w:lineRule="auto"/>
        <w:rPr>
          <w:rFonts w:hint="eastAsia" w:ascii="宋体" w:hAnsi="宋体" w:eastAsia="宋体" w:cs="宋体"/>
          <w:sz w:val="24"/>
          <w:szCs w:val="24"/>
        </w:rPr>
        <w:sectPr>
          <w:headerReference r:id="rId31" w:type="default"/>
          <w:footerReference r:id="rId32" w:type="default"/>
          <w:pgSz w:w="11905" w:h="16838"/>
          <w:pgMar w:top="1361" w:right="1417" w:bottom="1247" w:left="1417" w:header="839" w:footer="884" w:gutter="0"/>
          <w:pgNumType w:fmt="numberInDash"/>
          <w:cols w:space="0" w:num="1"/>
          <w:rtlGutter w:val="0"/>
          <w:docGrid w:linePitch="0" w:charSpace="0"/>
        </w:sectPr>
      </w:pPr>
    </w:p>
    <w:p w14:paraId="475C47E6">
      <w:pPr>
        <w:pStyle w:val="2"/>
        <w:keepNext w:val="0"/>
        <w:keepLines w:val="0"/>
        <w:pageBreakBefore w:val="0"/>
        <w:widowControl/>
        <w:kinsoku w:val="0"/>
        <w:wordWrap/>
        <w:overflowPunct/>
        <w:topLinePunct w:val="0"/>
        <w:autoSpaceDE w:val="0"/>
        <w:autoSpaceDN w:val="0"/>
        <w:bidi w:val="0"/>
        <w:adjustRightInd w:val="0"/>
        <w:snapToGrid w:val="0"/>
        <w:spacing w:before="273" w:line="202" w:lineRule="auto"/>
        <w:ind w:left="28"/>
        <w:textAlignment w:val="baseline"/>
        <w:outlineLvl w:val="2"/>
        <w:rPr>
          <w:rFonts w:hint="eastAsia" w:ascii="宋体" w:hAnsi="宋体" w:eastAsia="宋体" w:cs="宋体"/>
          <w:sz w:val="24"/>
          <w:szCs w:val="24"/>
        </w:rPr>
      </w:pPr>
      <w:bookmarkStart w:id="159" w:name="_Toc767"/>
      <w:r>
        <w:rPr>
          <w:rFonts w:hint="eastAsia" w:ascii="宋体" w:hAnsi="宋体" w:eastAsia="宋体" w:cs="宋体"/>
          <w:sz w:val="24"/>
          <w:szCs w:val="24"/>
        </w:rPr>
        <w:t>6</w:t>
      </w:r>
      <w:r>
        <w:rPr>
          <w:rFonts w:hint="eastAsia" w:ascii="宋体" w:hAnsi="宋体" w:eastAsia="宋体" w:cs="宋体"/>
          <w:sz w:val="24"/>
          <w:szCs w:val="24"/>
          <w:lang w:val="en-US" w:eastAsia="zh-CN"/>
        </w:rPr>
        <w:t>.</w:t>
      </w:r>
      <w:r>
        <w:rPr>
          <w:rFonts w:hint="eastAsia" w:ascii="宋体" w:hAnsi="宋体" w:eastAsia="宋体" w:cs="宋体"/>
          <w:sz w:val="24"/>
          <w:szCs w:val="24"/>
        </w:rPr>
        <w:t>采购需求偏离表（实质性格式）</w:t>
      </w:r>
      <w:bookmarkEnd w:id="159"/>
    </w:p>
    <w:p w14:paraId="62225851">
      <w:pPr>
        <w:pStyle w:val="2"/>
        <w:spacing w:before="205" w:line="205" w:lineRule="auto"/>
        <w:ind w:left="3573"/>
        <w:rPr>
          <w:rFonts w:hint="eastAsia" w:ascii="宋体" w:hAnsi="宋体" w:eastAsia="宋体" w:cs="宋体"/>
          <w:sz w:val="24"/>
          <w:szCs w:val="24"/>
        </w:rPr>
      </w:pPr>
      <w:r>
        <w:rPr>
          <w:rFonts w:hint="eastAsia" w:ascii="宋体" w:hAnsi="宋体" w:eastAsia="宋体" w:cs="宋体"/>
          <w:b/>
          <w:bCs/>
          <w:spacing w:val="10"/>
          <w:sz w:val="24"/>
          <w:szCs w:val="24"/>
        </w:rPr>
        <w:t>采购需求偏离表</w:t>
      </w:r>
    </w:p>
    <w:p w14:paraId="760D6B24">
      <w:pPr>
        <w:pStyle w:val="2"/>
        <w:spacing w:before="251" w:line="200" w:lineRule="auto"/>
        <w:ind w:left="0" w:leftChars="0" w:firstLine="0" w:firstLineChars="0"/>
        <w:rPr>
          <w:rFonts w:hint="eastAsia" w:ascii="宋体" w:hAnsi="宋体" w:eastAsia="宋体" w:cs="宋体"/>
          <w:spacing w:val="-1"/>
          <w:sz w:val="24"/>
          <w:szCs w:val="24"/>
        </w:rPr>
      </w:pPr>
      <w:r>
        <w:rPr>
          <w:rFonts w:hint="eastAsia" w:ascii="宋体" w:hAnsi="宋体" w:eastAsia="宋体" w:cs="宋体"/>
          <w:sz w:val="24"/>
          <w:szCs w:val="24"/>
        </w:rPr>
        <w:t>项目编号/包号：</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w:t>
      </w:r>
    </w:p>
    <w:p w14:paraId="1493936C">
      <w:pPr>
        <w:pStyle w:val="2"/>
        <w:spacing w:before="251" w:line="200" w:lineRule="auto"/>
        <w:ind w:left="0" w:leftChars="0" w:firstLine="0" w:firstLineChars="0"/>
        <w:rPr>
          <w:rFonts w:hint="eastAsia" w:ascii="宋体" w:hAnsi="宋体" w:eastAsia="宋体" w:cs="宋体"/>
          <w:sz w:val="24"/>
          <w:szCs w:val="24"/>
        </w:rPr>
      </w:pPr>
      <w:r>
        <w:rPr>
          <w:rFonts w:hint="eastAsia" w:ascii="宋体" w:hAnsi="宋体" w:eastAsia="宋体" w:cs="宋体"/>
          <w:spacing w:val="-1"/>
          <w:sz w:val="24"/>
          <w:szCs w:val="24"/>
        </w:rPr>
        <w:t>项目名称：</w:t>
      </w:r>
      <w:r>
        <w:rPr>
          <w:rFonts w:hint="eastAsia" w:ascii="宋体" w:hAnsi="宋体" w:eastAsia="宋体" w:cs="宋体"/>
          <w:spacing w:val="-1"/>
          <w:sz w:val="24"/>
          <w:szCs w:val="24"/>
          <w:u w:val="single" w:color="auto"/>
        </w:rPr>
        <w:t xml:space="preserve">                     </w:t>
      </w:r>
    </w:p>
    <w:p w14:paraId="40E5072D">
      <w:pPr>
        <w:spacing w:line="137" w:lineRule="exact"/>
        <w:rPr>
          <w:rFonts w:hint="eastAsia" w:ascii="宋体" w:hAnsi="宋体" w:eastAsia="宋体" w:cs="宋体"/>
          <w:sz w:val="24"/>
          <w:szCs w:val="24"/>
        </w:rPr>
      </w:pPr>
    </w:p>
    <w:tbl>
      <w:tblPr>
        <w:tblStyle w:val="20"/>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1"/>
        <w:gridCol w:w="1392"/>
        <w:gridCol w:w="2240"/>
        <w:gridCol w:w="1997"/>
        <w:gridCol w:w="1761"/>
        <w:gridCol w:w="951"/>
      </w:tblGrid>
      <w:tr w14:paraId="67403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403" w:type="pct"/>
            <w:vAlign w:val="center"/>
          </w:tcPr>
          <w:p w14:paraId="20DE1F6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序号</w:t>
            </w:r>
          </w:p>
        </w:tc>
        <w:tc>
          <w:tcPr>
            <w:tcW w:w="767" w:type="pct"/>
            <w:vAlign w:val="center"/>
          </w:tcPr>
          <w:p w14:paraId="3409BCE9">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招标文件条</w:t>
            </w:r>
            <w:r>
              <w:rPr>
                <w:rFonts w:hint="eastAsia" w:ascii="宋体" w:hAnsi="宋体" w:eastAsia="宋体" w:cs="宋体"/>
                <w:spacing w:val="-4"/>
                <w:sz w:val="24"/>
                <w:szCs w:val="24"/>
              </w:rPr>
              <w:t>目号(页码)</w:t>
            </w:r>
          </w:p>
        </w:tc>
        <w:tc>
          <w:tcPr>
            <w:tcW w:w="1234" w:type="pct"/>
            <w:vAlign w:val="center"/>
          </w:tcPr>
          <w:p w14:paraId="31E1125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招标文件要求</w:t>
            </w:r>
          </w:p>
        </w:tc>
        <w:tc>
          <w:tcPr>
            <w:tcW w:w="1100" w:type="pct"/>
            <w:vAlign w:val="center"/>
          </w:tcPr>
          <w:p w14:paraId="69A74BA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投标响应内容</w:t>
            </w:r>
          </w:p>
        </w:tc>
        <w:tc>
          <w:tcPr>
            <w:tcW w:w="970" w:type="pct"/>
            <w:vAlign w:val="center"/>
          </w:tcPr>
          <w:p w14:paraId="0AE2051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524" w:type="pct"/>
            <w:vAlign w:val="center"/>
          </w:tcPr>
          <w:p w14:paraId="4F0C407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说明</w:t>
            </w:r>
          </w:p>
        </w:tc>
      </w:tr>
      <w:tr w14:paraId="58757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403" w:type="pct"/>
            <w:vAlign w:val="center"/>
          </w:tcPr>
          <w:p w14:paraId="0149058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767" w:type="pct"/>
            <w:vAlign w:val="center"/>
          </w:tcPr>
          <w:p w14:paraId="456E16EE">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1234" w:type="pct"/>
            <w:vAlign w:val="center"/>
          </w:tcPr>
          <w:p w14:paraId="6CFC5D2D">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1100" w:type="pct"/>
            <w:vAlign w:val="center"/>
          </w:tcPr>
          <w:p w14:paraId="5B694051">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970" w:type="pct"/>
            <w:vAlign w:val="center"/>
          </w:tcPr>
          <w:p w14:paraId="5D0D38EC">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524" w:type="pct"/>
            <w:vAlign w:val="center"/>
          </w:tcPr>
          <w:p w14:paraId="13D21D0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r>
      <w:tr w14:paraId="6F309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403" w:type="pct"/>
            <w:vAlign w:val="center"/>
          </w:tcPr>
          <w:p w14:paraId="700F9F5D">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767" w:type="pct"/>
            <w:vAlign w:val="center"/>
          </w:tcPr>
          <w:p w14:paraId="3B1776A6">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1234" w:type="pct"/>
            <w:vAlign w:val="center"/>
          </w:tcPr>
          <w:p w14:paraId="3B960D76">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1100" w:type="pct"/>
            <w:vAlign w:val="center"/>
          </w:tcPr>
          <w:p w14:paraId="00E2BBE7">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970" w:type="pct"/>
            <w:vAlign w:val="center"/>
          </w:tcPr>
          <w:p w14:paraId="47D3FF65">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524" w:type="pct"/>
            <w:vAlign w:val="center"/>
          </w:tcPr>
          <w:p w14:paraId="318919E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r>
      <w:tr w14:paraId="2A018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403" w:type="pct"/>
            <w:vAlign w:val="center"/>
          </w:tcPr>
          <w:p w14:paraId="36996180">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767" w:type="pct"/>
            <w:vAlign w:val="center"/>
          </w:tcPr>
          <w:p w14:paraId="65F602E5">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1234" w:type="pct"/>
            <w:vAlign w:val="center"/>
          </w:tcPr>
          <w:p w14:paraId="5CCD0877">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1100" w:type="pct"/>
            <w:vAlign w:val="center"/>
          </w:tcPr>
          <w:p w14:paraId="643858BF">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970" w:type="pct"/>
            <w:vAlign w:val="center"/>
          </w:tcPr>
          <w:p w14:paraId="06ADE68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524" w:type="pct"/>
            <w:vAlign w:val="center"/>
          </w:tcPr>
          <w:p w14:paraId="2BAFEE0D">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r>
      <w:tr w14:paraId="40438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403" w:type="pct"/>
            <w:vAlign w:val="center"/>
          </w:tcPr>
          <w:p w14:paraId="0447CE37">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767" w:type="pct"/>
            <w:vAlign w:val="center"/>
          </w:tcPr>
          <w:p w14:paraId="2FC564E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1234" w:type="pct"/>
            <w:vAlign w:val="center"/>
          </w:tcPr>
          <w:p w14:paraId="5E777E36">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1100" w:type="pct"/>
            <w:vAlign w:val="center"/>
          </w:tcPr>
          <w:p w14:paraId="188EB7FA">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970" w:type="pct"/>
            <w:vAlign w:val="center"/>
          </w:tcPr>
          <w:p w14:paraId="73469041">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524" w:type="pct"/>
            <w:vAlign w:val="center"/>
          </w:tcPr>
          <w:p w14:paraId="0E5E9217">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r>
      <w:tr w14:paraId="3CB7B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403" w:type="pct"/>
            <w:vAlign w:val="center"/>
          </w:tcPr>
          <w:p w14:paraId="3E185A9A">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767" w:type="pct"/>
            <w:vAlign w:val="center"/>
          </w:tcPr>
          <w:p w14:paraId="330C0404">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1234" w:type="pct"/>
            <w:vAlign w:val="center"/>
          </w:tcPr>
          <w:p w14:paraId="2BA9E393">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1100" w:type="pct"/>
            <w:vAlign w:val="center"/>
          </w:tcPr>
          <w:p w14:paraId="0D2858F0">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970" w:type="pct"/>
            <w:vAlign w:val="center"/>
          </w:tcPr>
          <w:p w14:paraId="26989B25">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524" w:type="pct"/>
            <w:vAlign w:val="center"/>
          </w:tcPr>
          <w:p w14:paraId="1BFB6148">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r>
      <w:tr w14:paraId="63710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03" w:type="pct"/>
            <w:vAlign w:val="center"/>
          </w:tcPr>
          <w:p w14:paraId="587582FB">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767" w:type="pct"/>
            <w:vAlign w:val="center"/>
          </w:tcPr>
          <w:p w14:paraId="22B50110">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1234" w:type="pct"/>
            <w:vAlign w:val="center"/>
          </w:tcPr>
          <w:p w14:paraId="60AF528E">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1100" w:type="pct"/>
            <w:vAlign w:val="center"/>
          </w:tcPr>
          <w:p w14:paraId="081726BE">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970" w:type="pct"/>
            <w:vAlign w:val="center"/>
          </w:tcPr>
          <w:p w14:paraId="4752A927">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c>
          <w:tcPr>
            <w:tcW w:w="524" w:type="pct"/>
            <w:vAlign w:val="center"/>
          </w:tcPr>
          <w:p w14:paraId="02CFBA7C">
            <w:pPr>
              <w:pStyle w:val="21"/>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jc w:val="center"/>
              <w:textAlignment w:val="baseline"/>
              <w:rPr>
                <w:rFonts w:hint="eastAsia" w:ascii="宋体" w:hAnsi="宋体" w:eastAsia="宋体" w:cs="宋体"/>
                <w:sz w:val="24"/>
                <w:szCs w:val="24"/>
              </w:rPr>
            </w:pPr>
          </w:p>
        </w:tc>
      </w:tr>
    </w:tbl>
    <w:p w14:paraId="669F6B5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spacing w:val="-6"/>
          <w:sz w:val="24"/>
          <w:szCs w:val="24"/>
        </w:rPr>
        <w:t>注：</w:t>
      </w:r>
    </w:p>
    <w:p w14:paraId="58DCB18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377" w:firstLine="0" w:firstLineChars="0"/>
        <w:textAlignment w:val="baseline"/>
        <w:rPr>
          <w:rFonts w:hint="eastAsia" w:ascii="宋体" w:hAnsi="宋体" w:eastAsia="宋体" w:cs="宋体"/>
          <w:sz w:val="24"/>
          <w:szCs w:val="24"/>
        </w:rPr>
      </w:pPr>
      <w:r>
        <w:rPr>
          <w:rFonts w:hint="eastAsia" w:ascii="宋体" w:hAnsi="宋体" w:eastAsia="宋体" w:cs="宋体"/>
          <w:spacing w:val="-2"/>
          <w:sz w:val="24"/>
          <w:szCs w:val="24"/>
        </w:rPr>
        <w:t>1.对招标文件中的所有商务、技术要求，除本表所列明</w:t>
      </w:r>
      <w:r>
        <w:rPr>
          <w:rFonts w:hint="eastAsia" w:ascii="宋体" w:hAnsi="宋体" w:eastAsia="宋体" w:cs="宋体"/>
          <w:spacing w:val="-3"/>
          <w:sz w:val="24"/>
          <w:szCs w:val="24"/>
        </w:rPr>
        <w:t>的所有偏离外，均视作供应商</w:t>
      </w:r>
      <w:r>
        <w:rPr>
          <w:rFonts w:hint="eastAsia" w:ascii="宋体" w:hAnsi="宋体" w:eastAsia="宋体" w:cs="宋体"/>
          <w:spacing w:val="-2"/>
          <w:sz w:val="24"/>
          <w:szCs w:val="24"/>
        </w:rPr>
        <w:t>已对之理解和响应。此表中若无任何文字说明，内容为空白的，</w:t>
      </w:r>
      <w:r>
        <w:rPr>
          <w:rFonts w:hint="eastAsia" w:ascii="宋体" w:hAnsi="宋体" w:eastAsia="宋体" w:cs="宋体"/>
          <w:b/>
          <w:bCs/>
          <w:spacing w:val="-2"/>
          <w:sz w:val="24"/>
          <w:szCs w:val="24"/>
        </w:rPr>
        <w:t>投标无效。</w:t>
      </w:r>
    </w:p>
    <w:p w14:paraId="571C28B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sz w:val="24"/>
          <w:szCs w:val="24"/>
        </w:rPr>
      </w:pPr>
      <w:r>
        <w:rPr>
          <w:rFonts w:hint="eastAsia" w:ascii="宋体" w:hAnsi="宋体" w:eastAsia="宋体" w:cs="宋体"/>
          <w:spacing w:val="6"/>
          <w:sz w:val="24"/>
          <w:szCs w:val="24"/>
        </w:rPr>
        <w:t>2.“偏离情况”列应据实填写“无偏离”、“正偏离”或“负偏离”。</w:t>
      </w:r>
    </w:p>
    <w:p w14:paraId="454870DE">
      <w:pPr>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rPr>
          <w:rFonts w:hint="eastAsia" w:ascii="宋体" w:hAnsi="宋体" w:eastAsia="宋体" w:cs="宋体"/>
          <w:sz w:val="24"/>
          <w:szCs w:val="24"/>
        </w:rPr>
      </w:pPr>
    </w:p>
    <w:p w14:paraId="483102E1">
      <w:pPr>
        <w:pStyle w:val="2"/>
        <w:keepNext w:val="0"/>
        <w:keepLines w:val="0"/>
        <w:pageBreakBefore w:val="0"/>
        <w:widowControl/>
        <w:kinsoku w:val="0"/>
        <w:wordWrap/>
        <w:overflowPunct/>
        <w:topLinePunct w:val="0"/>
        <w:autoSpaceDE w:val="0"/>
        <w:autoSpaceDN w:val="0"/>
        <w:bidi w:val="0"/>
        <w:adjustRightInd w:val="0"/>
        <w:snapToGrid w:val="0"/>
        <w:spacing w:before="103" w:line="196" w:lineRule="auto"/>
        <w:ind w:left="300"/>
        <w:textAlignment w:val="baseline"/>
        <w:outlineLvl w:val="9"/>
        <w:rPr>
          <w:rFonts w:hint="eastAsia" w:ascii="宋体" w:hAnsi="宋体" w:eastAsia="宋体" w:cs="宋体"/>
          <w:sz w:val="24"/>
          <w:szCs w:val="24"/>
        </w:rPr>
      </w:pPr>
      <w:r>
        <w:rPr>
          <w:rFonts w:hint="eastAsia" w:ascii="宋体" w:hAnsi="宋体" w:eastAsia="宋体" w:cs="宋体"/>
          <w:spacing w:val="-1"/>
          <w:sz w:val="24"/>
          <w:szCs w:val="24"/>
        </w:rPr>
        <w:t>投标人名称（加盖公章</w:t>
      </w:r>
      <w:r>
        <w:rPr>
          <w:rFonts w:hint="eastAsia" w:ascii="宋体" w:hAnsi="宋体" w:eastAsia="宋体" w:cs="宋体"/>
          <w:spacing w:val="-59"/>
          <w:sz w:val="24"/>
          <w:szCs w:val="24"/>
        </w:rPr>
        <w:t>）：</w:t>
      </w:r>
      <w:r>
        <w:rPr>
          <w:rFonts w:hint="eastAsia" w:ascii="宋体" w:hAnsi="宋体" w:eastAsia="宋体" w:cs="宋体"/>
          <w:sz w:val="24"/>
          <w:szCs w:val="24"/>
          <w:u w:val="single" w:color="auto"/>
        </w:rPr>
        <w:t xml:space="preserve">                     </w:t>
      </w:r>
    </w:p>
    <w:p w14:paraId="08FE6A96">
      <w:pPr>
        <w:pStyle w:val="2"/>
        <w:keepNext w:val="0"/>
        <w:keepLines w:val="0"/>
        <w:pageBreakBefore w:val="0"/>
        <w:widowControl/>
        <w:kinsoku w:val="0"/>
        <w:wordWrap/>
        <w:overflowPunct/>
        <w:topLinePunct w:val="0"/>
        <w:autoSpaceDE w:val="0"/>
        <w:autoSpaceDN w:val="0"/>
        <w:bidi w:val="0"/>
        <w:adjustRightInd w:val="0"/>
        <w:snapToGrid w:val="0"/>
        <w:spacing w:before="211" w:line="200" w:lineRule="auto"/>
        <w:ind w:left="351"/>
        <w:textAlignment w:val="baseline"/>
        <w:outlineLvl w:val="9"/>
        <w:rPr>
          <w:rFonts w:hint="eastAsia" w:ascii="宋体" w:hAnsi="宋体" w:eastAsia="宋体" w:cs="宋体"/>
          <w:sz w:val="24"/>
          <w:szCs w:val="24"/>
        </w:rPr>
      </w:pPr>
      <w:r>
        <w:rPr>
          <w:rFonts w:hint="eastAsia" w:ascii="宋体" w:hAnsi="宋体" w:eastAsia="宋体" w:cs="宋体"/>
          <w:spacing w:val="-13"/>
          <w:sz w:val="24"/>
          <w:szCs w:val="24"/>
        </w:rPr>
        <w:t>日期：</w:t>
      </w:r>
      <w:r>
        <w:rPr>
          <w:rFonts w:hint="eastAsia" w:ascii="宋体" w:hAnsi="宋体" w:eastAsia="宋体" w:cs="宋体"/>
          <w:spacing w:val="4"/>
          <w:sz w:val="24"/>
          <w:szCs w:val="24"/>
          <w:u w:val="single" w:color="auto"/>
        </w:rPr>
        <w:t xml:space="preserve">        </w:t>
      </w:r>
      <w:r>
        <w:rPr>
          <w:rFonts w:hint="eastAsia" w:ascii="宋体" w:hAnsi="宋体" w:eastAsia="宋体" w:cs="宋体"/>
          <w:spacing w:val="-59"/>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1"/>
          <w:sz w:val="24"/>
          <w:szCs w:val="24"/>
          <w:u w:val="single" w:color="auto"/>
        </w:rPr>
        <w:t xml:space="preserve">     </w:t>
      </w:r>
      <w:r>
        <w:rPr>
          <w:rFonts w:hint="eastAsia" w:ascii="宋体" w:hAnsi="宋体" w:eastAsia="宋体" w:cs="宋体"/>
          <w:spacing w:val="-13"/>
          <w:sz w:val="24"/>
          <w:szCs w:val="24"/>
        </w:rPr>
        <w:t>月</w:t>
      </w:r>
      <w:r>
        <w:rPr>
          <w:rFonts w:hint="eastAsia" w:ascii="宋体" w:hAnsi="宋体" w:eastAsia="宋体" w:cs="宋体"/>
          <w:spacing w:val="1"/>
          <w:sz w:val="24"/>
          <w:szCs w:val="24"/>
          <w:u w:val="single" w:color="auto"/>
        </w:rPr>
        <w:t xml:space="preserve">      </w:t>
      </w:r>
      <w:r>
        <w:rPr>
          <w:rFonts w:hint="eastAsia" w:ascii="宋体" w:hAnsi="宋体" w:eastAsia="宋体" w:cs="宋体"/>
          <w:spacing w:val="-13"/>
          <w:sz w:val="24"/>
          <w:szCs w:val="24"/>
        </w:rPr>
        <w:t>日</w:t>
      </w:r>
    </w:p>
    <w:p w14:paraId="1240D7A7">
      <w:pPr>
        <w:spacing w:line="200" w:lineRule="auto"/>
        <w:rPr>
          <w:rFonts w:hint="eastAsia" w:ascii="宋体" w:hAnsi="宋体" w:eastAsia="宋体" w:cs="宋体"/>
          <w:sz w:val="24"/>
          <w:szCs w:val="24"/>
        </w:rPr>
        <w:sectPr>
          <w:headerReference r:id="rId33" w:type="default"/>
          <w:footerReference r:id="rId34" w:type="default"/>
          <w:pgSz w:w="11905" w:h="16838"/>
          <w:pgMar w:top="1361" w:right="1417" w:bottom="1247" w:left="1417" w:header="839" w:footer="884" w:gutter="0"/>
          <w:pgNumType w:fmt="numberInDash"/>
          <w:cols w:space="0" w:num="1"/>
          <w:rtlGutter w:val="0"/>
          <w:docGrid w:linePitch="0" w:charSpace="0"/>
        </w:sectPr>
      </w:pPr>
    </w:p>
    <w:p w14:paraId="0CEA2118">
      <w:pPr>
        <w:pStyle w:val="2"/>
        <w:keepNext w:val="0"/>
        <w:keepLines w:val="0"/>
        <w:pageBreakBefore w:val="0"/>
        <w:widowControl/>
        <w:kinsoku w:val="0"/>
        <w:wordWrap/>
        <w:overflowPunct/>
        <w:topLinePunct w:val="0"/>
        <w:autoSpaceDE w:val="0"/>
        <w:autoSpaceDN w:val="0"/>
        <w:bidi w:val="0"/>
        <w:adjustRightInd w:val="0"/>
        <w:snapToGrid w:val="0"/>
        <w:spacing w:before="273" w:line="202" w:lineRule="auto"/>
        <w:ind w:left="28"/>
        <w:textAlignment w:val="baseline"/>
        <w:outlineLvl w:val="2"/>
        <w:rPr>
          <w:rFonts w:hint="eastAsia" w:ascii="宋体" w:hAnsi="宋体" w:eastAsia="宋体" w:cs="宋体"/>
          <w:sz w:val="24"/>
          <w:szCs w:val="24"/>
        </w:rPr>
      </w:pPr>
      <w:bookmarkStart w:id="160" w:name="_Toc19426"/>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中小企业证明文件说明：</w:t>
      </w:r>
      <w:bookmarkEnd w:id="160"/>
    </w:p>
    <w:p w14:paraId="5EC900B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1）中小企业参加政府采购活动，应当出具《中小企业声明函》</w:t>
      </w:r>
      <w:r>
        <w:rPr>
          <w:rFonts w:hint="eastAsia" w:ascii="宋体" w:hAnsi="宋体" w:eastAsia="宋体" w:cs="宋体"/>
          <w:sz w:val="24"/>
          <w:szCs w:val="24"/>
        </w:rPr>
        <w:t>或《残疾人福利性单位</w:t>
      </w:r>
      <w:r>
        <w:rPr>
          <w:rFonts w:hint="eastAsia" w:ascii="宋体" w:hAnsi="宋体" w:eastAsia="宋体" w:cs="宋体"/>
          <w:spacing w:val="-1"/>
          <w:sz w:val="24"/>
          <w:szCs w:val="24"/>
        </w:rPr>
        <w:t>声明函》或由省级以上监狱管理局、戒毒管理局（含</w:t>
      </w:r>
      <w:r>
        <w:rPr>
          <w:rFonts w:hint="eastAsia" w:ascii="宋体" w:hAnsi="宋体" w:eastAsia="宋体" w:cs="宋体"/>
          <w:spacing w:val="-2"/>
          <w:sz w:val="24"/>
          <w:szCs w:val="24"/>
        </w:rPr>
        <w:t>新疆生产建设兵团）出具的属于监</w:t>
      </w:r>
      <w:r>
        <w:rPr>
          <w:rFonts w:hint="eastAsia" w:ascii="宋体" w:hAnsi="宋体" w:eastAsia="宋体" w:cs="宋体"/>
          <w:spacing w:val="-3"/>
          <w:sz w:val="24"/>
          <w:szCs w:val="24"/>
        </w:rPr>
        <w:t>狱企业的证明文件，以证明中小企业身份。《中小企业声明函》由参加政府采购活动的</w:t>
      </w:r>
      <w:r>
        <w:rPr>
          <w:rFonts w:hint="eastAsia" w:ascii="宋体" w:hAnsi="宋体" w:eastAsia="宋体" w:cs="宋体"/>
          <w:spacing w:val="-4"/>
          <w:sz w:val="24"/>
          <w:szCs w:val="24"/>
        </w:rPr>
        <w:t>投标人出具。联合体投标的，《中小企业声明函》可由牵</w:t>
      </w:r>
      <w:r>
        <w:rPr>
          <w:rFonts w:hint="eastAsia" w:ascii="宋体" w:hAnsi="宋体" w:eastAsia="宋体" w:cs="宋体"/>
          <w:spacing w:val="-5"/>
          <w:sz w:val="24"/>
          <w:szCs w:val="24"/>
        </w:rPr>
        <w:t>头人出具。</w:t>
      </w:r>
    </w:p>
    <w:p w14:paraId="412180F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2）对于联合体中由中小企业承担的部分，或者分包给中小</w:t>
      </w:r>
      <w:r>
        <w:rPr>
          <w:rFonts w:hint="eastAsia" w:ascii="宋体" w:hAnsi="宋体" w:eastAsia="宋体" w:cs="宋体"/>
          <w:spacing w:val="-2"/>
          <w:sz w:val="24"/>
          <w:szCs w:val="24"/>
        </w:rPr>
        <w:t>企业的部分，必须全部由中</w:t>
      </w:r>
      <w:r>
        <w:rPr>
          <w:rFonts w:hint="eastAsia" w:ascii="宋体" w:hAnsi="宋体" w:eastAsia="宋体" w:cs="宋体"/>
          <w:sz w:val="24"/>
          <w:szCs w:val="24"/>
        </w:rPr>
        <w:t>小企业制造、承建或者承接。供应商应当在声明函“标的名</w:t>
      </w:r>
      <w:r>
        <w:rPr>
          <w:rFonts w:hint="eastAsia" w:ascii="宋体" w:hAnsi="宋体" w:eastAsia="宋体" w:cs="宋体"/>
          <w:spacing w:val="-1"/>
          <w:sz w:val="24"/>
          <w:szCs w:val="24"/>
        </w:rPr>
        <w:t>称”部分标明联合体中中小企业承担的具体内容或者中小企业的具体分包内容。</w:t>
      </w:r>
    </w:p>
    <w:p w14:paraId="65F740F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3）对于多标的采购项目，投标人应充分、准确地了解所提供货物的制造企业、提供服</w:t>
      </w:r>
      <w:r>
        <w:rPr>
          <w:rFonts w:hint="eastAsia" w:ascii="宋体" w:hAnsi="宋体" w:eastAsia="宋体" w:cs="宋体"/>
          <w:sz w:val="24"/>
          <w:szCs w:val="24"/>
        </w:rPr>
        <w:t>务的承接企业信息。对相关情况了解不清楚的，不建议填</w:t>
      </w:r>
      <w:r>
        <w:rPr>
          <w:rFonts w:hint="eastAsia" w:ascii="宋体" w:hAnsi="宋体" w:eastAsia="宋体" w:cs="宋体"/>
          <w:spacing w:val="-1"/>
          <w:sz w:val="24"/>
          <w:szCs w:val="24"/>
        </w:rPr>
        <w:t>报本声明函。</w:t>
      </w:r>
    </w:p>
    <w:p w14:paraId="2198832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4）温馨提示：为方便广大中小企业识别企业规模类型，工业和信息化部</w:t>
      </w:r>
      <w:r>
        <w:rPr>
          <w:rFonts w:hint="eastAsia" w:ascii="宋体" w:hAnsi="宋体" w:eastAsia="宋体" w:cs="宋体"/>
          <w:spacing w:val="-2"/>
          <w:sz w:val="24"/>
          <w:szCs w:val="24"/>
        </w:rPr>
        <w:t>组织开发了中</w:t>
      </w:r>
      <w:r>
        <w:rPr>
          <w:rFonts w:hint="eastAsia" w:ascii="宋体" w:hAnsi="宋体" w:eastAsia="宋体" w:cs="宋体"/>
          <w:spacing w:val="-1"/>
          <w:sz w:val="24"/>
          <w:szCs w:val="24"/>
        </w:rPr>
        <w:t>小企业规模类型自测小程序，在国务院客户端和工业</w:t>
      </w:r>
      <w:r>
        <w:rPr>
          <w:rFonts w:hint="eastAsia" w:ascii="宋体" w:hAnsi="宋体" w:eastAsia="宋体" w:cs="宋体"/>
          <w:spacing w:val="-2"/>
          <w:sz w:val="24"/>
          <w:szCs w:val="24"/>
        </w:rPr>
        <w:t>和信息化部网站上均有链接，投标</w:t>
      </w:r>
      <w:r>
        <w:rPr>
          <w:rFonts w:hint="eastAsia" w:ascii="宋体" w:hAnsi="宋体" w:eastAsia="宋体" w:cs="宋体"/>
          <w:spacing w:val="-1"/>
          <w:sz w:val="24"/>
          <w:szCs w:val="24"/>
        </w:rPr>
        <w:t>人填写所属的行业和指标数据可自动生成企业规模类</w:t>
      </w:r>
      <w:r>
        <w:rPr>
          <w:rFonts w:hint="eastAsia" w:ascii="宋体" w:hAnsi="宋体" w:eastAsia="宋体" w:cs="宋体"/>
          <w:spacing w:val="-2"/>
          <w:sz w:val="24"/>
          <w:szCs w:val="24"/>
        </w:rPr>
        <w:t>型测试结果。本项目中小企业划分</w:t>
      </w:r>
      <w:r>
        <w:rPr>
          <w:rFonts w:hint="eastAsia" w:ascii="宋体" w:hAnsi="宋体" w:eastAsia="宋体" w:cs="宋体"/>
          <w:spacing w:val="-1"/>
          <w:sz w:val="24"/>
          <w:szCs w:val="24"/>
        </w:rPr>
        <w:t>标准所属行业详见第二章《投标人须知资料表</w:t>
      </w:r>
      <w:r>
        <w:rPr>
          <w:rFonts w:hint="eastAsia" w:ascii="宋体" w:hAnsi="宋体" w:eastAsia="宋体" w:cs="宋体"/>
          <w:spacing w:val="-2"/>
          <w:sz w:val="24"/>
          <w:szCs w:val="24"/>
        </w:rPr>
        <w:t>》，如在该程序中未找到本项目文件规定</w:t>
      </w:r>
      <w:r>
        <w:rPr>
          <w:rFonts w:hint="eastAsia" w:ascii="宋体" w:hAnsi="宋体" w:eastAsia="宋体" w:cs="宋体"/>
          <w:spacing w:val="-1"/>
          <w:sz w:val="24"/>
          <w:szCs w:val="24"/>
        </w:rPr>
        <w:t>的中小企业划分标准所属行业，则按照《关于印发中</w:t>
      </w:r>
      <w:r>
        <w:rPr>
          <w:rFonts w:hint="eastAsia" w:ascii="宋体" w:hAnsi="宋体" w:eastAsia="宋体" w:cs="宋体"/>
          <w:spacing w:val="-2"/>
          <w:sz w:val="24"/>
          <w:szCs w:val="24"/>
        </w:rPr>
        <w:t>小企业划型标准规定的通知（工信</w:t>
      </w:r>
      <w:r>
        <w:rPr>
          <w:rFonts w:hint="eastAsia" w:ascii="宋体" w:hAnsi="宋体" w:eastAsia="宋体" w:cs="宋体"/>
          <w:spacing w:val="-1"/>
          <w:sz w:val="24"/>
          <w:szCs w:val="24"/>
        </w:rPr>
        <w:t>部联企业﹝2011﹞300号）》及本项目文件规定的中小企业划分标准所属行业执行。</w:t>
      </w:r>
    </w:p>
    <w:p w14:paraId="3E46E323">
      <w:pPr>
        <w:spacing w:line="306" w:lineRule="auto"/>
        <w:rPr>
          <w:rFonts w:hint="eastAsia" w:ascii="宋体" w:hAnsi="宋体" w:eastAsia="宋体" w:cs="宋体"/>
          <w:sz w:val="24"/>
          <w:szCs w:val="24"/>
        </w:rPr>
        <w:sectPr>
          <w:footerReference r:id="rId35" w:type="default"/>
          <w:pgSz w:w="11905" w:h="16838"/>
          <w:pgMar w:top="1361" w:right="1417" w:bottom="1247" w:left="1417" w:header="839" w:footer="884" w:gutter="0"/>
          <w:pgNumType w:fmt="numberInDash"/>
          <w:cols w:space="0" w:num="1"/>
          <w:rtlGutter w:val="0"/>
          <w:docGrid w:linePitch="0" w:charSpace="0"/>
        </w:sectPr>
      </w:pPr>
    </w:p>
    <w:p w14:paraId="549AC55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24"/>
          <w:szCs w:val="24"/>
        </w:rPr>
      </w:pPr>
      <w:r>
        <w:rPr>
          <w:rFonts w:hint="eastAsia" w:ascii="宋体" w:hAnsi="宋体" w:eastAsia="宋体" w:cs="宋体"/>
          <w:b/>
          <w:bCs/>
          <w:spacing w:val="7"/>
          <w:sz w:val="24"/>
          <w:szCs w:val="24"/>
        </w:rPr>
        <w:t>中小企业声明函（货物）格式</w:t>
      </w:r>
    </w:p>
    <w:p w14:paraId="7CA4CD81">
      <w:pPr>
        <w:spacing w:line="397" w:lineRule="auto"/>
        <w:rPr>
          <w:rFonts w:hint="eastAsia" w:ascii="宋体" w:hAnsi="宋体" w:eastAsia="宋体" w:cs="宋体"/>
          <w:sz w:val="24"/>
          <w:szCs w:val="24"/>
        </w:rPr>
      </w:pPr>
    </w:p>
    <w:p w14:paraId="239671F1">
      <w:pPr>
        <w:pStyle w:val="2"/>
        <w:spacing w:before="103" w:line="299" w:lineRule="auto"/>
        <w:ind w:left="321" w:right="280" w:firstLine="649"/>
        <w:jc w:val="both"/>
        <w:rPr>
          <w:rFonts w:hint="eastAsia" w:ascii="宋体" w:hAnsi="宋体" w:eastAsia="宋体" w:cs="宋体"/>
          <w:sz w:val="24"/>
          <w:szCs w:val="24"/>
        </w:rPr>
      </w:pPr>
      <w:r>
        <w:rPr>
          <w:rFonts w:hint="eastAsia" w:ascii="宋体" w:hAnsi="宋体" w:eastAsia="宋体" w:cs="宋体"/>
          <w:spacing w:val="-1"/>
          <w:sz w:val="24"/>
          <w:szCs w:val="24"/>
        </w:rPr>
        <w:t>本公司（联合体）郑重声明，根据《政府采购促进中小企业发展管理办</w:t>
      </w:r>
      <w:r>
        <w:rPr>
          <w:rFonts w:hint="eastAsia" w:ascii="宋体" w:hAnsi="宋体" w:eastAsia="宋体" w:cs="宋体"/>
          <w:spacing w:val="-2"/>
          <w:sz w:val="24"/>
          <w:szCs w:val="24"/>
        </w:rPr>
        <w:t>法》</w:t>
      </w:r>
      <w:r>
        <w:rPr>
          <w:rFonts w:hint="eastAsia" w:ascii="宋体" w:hAnsi="宋体" w:eastAsia="宋体" w:cs="宋体"/>
          <w:spacing w:val="1"/>
          <w:sz w:val="24"/>
          <w:szCs w:val="24"/>
        </w:rPr>
        <w:t>（财库﹝2020﹞46号）的规定，本公司（联合体）参加</w:t>
      </w:r>
      <w:r>
        <w:rPr>
          <w:rFonts w:hint="eastAsia" w:ascii="宋体" w:hAnsi="宋体" w:eastAsia="宋体" w:cs="宋体"/>
          <w:i/>
          <w:iCs/>
          <w:spacing w:val="1"/>
          <w:sz w:val="24"/>
          <w:szCs w:val="24"/>
          <w:u w:val="single" w:color="auto"/>
        </w:rPr>
        <w:t>（单位名称</w:t>
      </w:r>
      <w:r>
        <w:rPr>
          <w:rFonts w:hint="eastAsia" w:ascii="宋体" w:hAnsi="宋体" w:eastAsia="宋体" w:cs="宋体"/>
          <w:i/>
          <w:iCs/>
          <w:sz w:val="24"/>
          <w:szCs w:val="24"/>
          <w:u w:val="single" w:color="auto"/>
        </w:rPr>
        <w:t>）</w:t>
      </w:r>
      <w:r>
        <w:rPr>
          <w:rFonts w:hint="eastAsia" w:ascii="宋体" w:hAnsi="宋体" w:eastAsia="宋体" w:cs="宋体"/>
          <w:sz w:val="24"/>
          <w:szCs w:val="24"/>
        </w:rPr>
        <w:t>的</w:t>
      </w:r>
      <w:r>
        <w:rPr>
          <w:rFonts w:hint="eastAsia" w:ascii="宋体" w:hAnsi="宋体" w:eastAsia="宋体" w:cs="宋体"/>
          <w:i/>
          <w:iCs/>
          <w:sz w:val="24"/>
          <w:szCs w:val="24"/>
          <w:u w:val="single" w:color="auto"/>
        </w:rPr>
        <w:t>（项目</w:t>
      </w:r>
      <w:r>
        <w:rPr>
          <w:rFonts w:hint="eastAsia" w:ascii="宋体" w:hAnsi="宋体" w:eastAsia="宋体" w:cs="宋体"/>
          <w:i/>
          <w:iCs/>
          <w:spacing w:val="-6"/>
          <w:sz w:val="24"/>
          <w:szCs w:val="24"/>
          <w:u w:val="single" w:color="auto"/>
        </w:rPr>
        <w:t>名称）</w:t>
      </w:r>
      <w:r>
        <w:rPr>
          <w:rFonts w:hint="eastAsia" w:ascii="宋体" w:hAnsi="宋体" w:eastAsia="宋体" w:cs="宋体"/>
          <w:spacing w:val="-6"/>
          <w:sz w:val="24"/>
          <w:szCs w:val="24"/>
        </w:rPr>
        <w:t>采购活动，提供的货物全部由符合政策要求的中</w:t>
      </w:r>
      <w:r>
        <w:rPr>
          <w:rFonts w:hint="eastAsia" w:ascii="宋体" w:hAnsi="宋体" w:eastAsia="宋体" w:cs="宋体"/>
          <w:spacing w:val="-7"/>
          <w:sz w:val="24"/>
          <w:szCs w:val="24"/>
        </w:rPr>
        <w:t>小企业制造。相关企业（含</w:t>
      </w:r>
      <w:r>
        <w:rPr>
          <w:rFonts w:hint="eastAsia" w:ascii="宋体" w:hAnsi="宋体" w:eastAsia="宋体" w:cs="宋体"/>
          <w:sz w:val="24"/>
          <w:szCs w:val="24"/>
        </w:rPr>
        <w:t>联合体中的中小企业、签订分包意向协议的中小企业）的具体情况如下：</w:t>
      </w:r>
    </w:p>
    <w:p w14:paraId="5D2444CB">
      <w:pPr>
        <w:pStyle w:val="2"/>
        <w:spacing w:before="1" w:line="299" w:lineRule="auto"/>
        <w:ind w:left="338" w:right="180" w:firstLine="633"/>
        <w:rPr>
          <w:rFonts w:hint="eastAsia" w:ascii="宋体" w:hAnsi="宋体" w:eastAsia="宋体" w:cs="宋体"/>
          <w:sz w:val="24"/>
          <w:szCs w:val="24"/>
        </w:rPr>
      </w:pPr>
      <w:r>
        <w:rPr>
          <w:rFonts w:hint="eastAsia" w:ascii="宋体" w:hAnsi="宋体" w:eastAsia="宋体" w:cs="宋体"/>
          <w:spacing w:val="-9"/>
          <w:sz w:val="24"/>
          <w:szCs w:val="24"/>
        </w:rPr>
        <w:t xml:space="preserve">1. </w:t>
      </w:r>
      <w:r>
        <w:rPr>
          <w:rFonts w:hint="eastAsia" w:ascii="宋体" w:hAnsi="宋体" w:eastAsia="宋体" w:cs="宋体"/>
          <w:i/>
          <w:iCs/>
          <w:spacing w:val="-9"/>
          <w:sz w:val="24"/>
          <w:szCs w:val="24"/>
          <w:u w:val="single" w:color="auto"/>
        </w:rPr>
        <w:t>（标的名称</w:t>
      </w:r>
      <w:r>
        <w:rPr>
          <w:rFonts w:hint="eastAsia" w:ascii="宋体" w:hAnsi="宋体" w:eastAsia="宋体" w:cs="宋体"/>
          <w:i/>
          <w:iCs/>
          <w:spacing w:val="-38"/>
          <w:sz w:val="24"/>
          <w:szCs w:val="24"/>
          <w:u w:val="single" w:color="auto"/>
        </w:rPr>
        <w:t>）</w:t>
      </w:r>
      <w:r>
        <w:rPr>
          <w:rFonts w:hint="eastAsia" w:ascii="宋体" w:hAnsi="宋体" w:eastAsia="宋体" w:cs="宋体"/>
          <w:spacing w:val="-30"/>
          <w:sz w:val="24"/>
          <w:szCs w:val="24"/>
        </w:rPr>
        <w:t xml:space="preserve"> </w:t>
      </w:r>
      <w:r>
        <w:rPr>
          <w:rFonts w:hint="eastAsia" w:ascii="宋体" w:hAnsi="宋体" w:eastAsia="宋体" w:cs="宋体"/>
          <w:spacing w:val="-38"/>
          <w:sz w:val="24"/>
          <w:szCs w:val="24"/>
        </w:rPr>
        <w:t>，</w:t>
      </w:r>
      <w:r>
        <w:rPr>
          <w:rFonts w:hint="eastAsia" w:ascii="宋体" w:hAnsi="宋体" w:eastAsia="宋体" w:cs="宋体"/>
          <w:spacing w:val="-9"/>
          <w:sz w:val="24"/>
          <w:szCs w:val="24"/>
        </w:rPr>
        <w:t>属于</w:t>
      </w:r>
      <w:r>
        <w:rPr>
          <w:rFonts w:hint="eastAsia" w:ascii="宋体" w:hAnsi="宋体" w:eastAsia="宋体" w:cs="宋体"/>
          <w:i/>
          <w:iCs/>
          <w:spacing w:val="-9"/>
          <w:sz w:val="24"/>
          <w:szCs w:val="24"/>
        </w:rPr>
        <w:t>（</w:t>
      </w:r>
      <w:r>
        <w:rPr>
          <w:rFonts w:hint="eastAsia" w:ascii="宋体" w:hAnsi="宋体" w:eastAsia="宋体" w:cs="宋体"/>
          <w:i/>
          <w:iCs/>
          <w:spacing w:val="-9"/>
          <w:sz w:val="24"/>
          <w:szCs w:val="24"/>
          <w:u w:val="single" w:color="auto"/>
        </w:rPr>
        <w:t>采购文件中明确的</w:t>
      </w:r>
      <w:r>
        <w:rPr>
          <w:rFonts w:hint="eastAsia" w:ascii="宋体" w:hAnsi="宋体" w:eastAsia="宋体" w:cs="宋体"/>
          <w:i/>
          <w:iCs/>
          <w:spacing w:val="-10"/>
          <w:sz w:val="24"/>
          <w:szCs w:val="24"/>
          <w:u w:val="single" w:color="auto"/>
        </w:rPr>
        <w:t>所属行业）行业</w:t>
      </w:r>
      <w:r>
        <w:rPr>
          <w:rFonts w:hint="eastAsia" w:ascii="宋体" w:hAnsi="宋体" w:eastAsia="宋体" w:cs="宋体"/>
          <w:spacing w:val="-10"/>
          <w:sz w:val="24"/>
          <w:szCs w:val="24"/>
        </w:rPr>
        <w:t>；制造商为</w:t>
      </w:r>
      <w:r>
        <w:rPr>
          <w:rFonts w:hint="eastAsia" w:ascii="宋体" w:hAnsi="宋体" w:eastAsia="宋体" w:cs="宋体"/>
          <w:i/>
          <w:iCs/>
          <w:spacing w:val="-10"/>
          <w:sz w:val="24"/>
          <w:szCs w:val="24"/>
          <w:u w:val="single" w:color="auto"/>
        </w:rPr>
        <w:t>（企</w:t>
      </w:r>
      <w:r>
        <w:rPr>
          <w:rFonts w:hint="eastAsia" w:ascii="宋体" w:hAnsi="宋体" w:eastAsia="宋体" w:cs="宋体"/>
          <w:i/>
          <w:iCs/>
          <w:spacing w:val="-3"/>
          <w:sz w:val="24"/>
          <w:szCs w:val="24"/>
          <w:u w:val="single" w:color="auto"/>
        </w:rPr>
        <w:t>业名称</w:t>
      </w:r>
      <w:r>
        <w:rPr>
          <w:rFonts w:hint="eastAsia" w:ascii="宋体" w:hAnsi="宋体" w:eastAsia="宋体" w:cs="宋体"/>
          <w:i/>
          <w:iCs/>
          <w:spacing w:val="-13"/>
          <w:sz w:val="24"/>
          <w:szCs w:val="24"/>
          <w:u w:val="single" w:color="auto"/>
        </w:rPr>
        <w:t>）</w:t>
      </w:r>
      <w:r>
        <w:rPr>
          <w:rFonts w:hint="eastAsia" w:ascii="宋体" w:hAnsi="宋体" w:eastAsia="宋体" w:cs="宋体"/>
          <w:spacing w:val="-13"/>
          <w:sz w:val="24"/>
          <w:szCs w:val="24"/>
        </w:rPr>
        <w:t>，</w:t>
      </w:r>
      <w:r>
        <w:rPr>
          <w:rFonts w:hint="eastAsia" w:ascii="宋体" w:hAnsi="宋体" w:eastAsia="宋体" w:cs="宋体"/>
          <w:spacing w:val="-3"/>
          <w:sz w:val="24"/>
          <w:szCs w:val="24"/>
        </w:rPr>
        <w:t>从业人员</w:t>
      </w:r>
      <w:r>
        <w:rPr>
          <w:rFonts w:hint="eastAsia" w:ascii="宋体" w:hAnsi="宋体" w:eastAsia="宋体" w:cs="宋体"/>
          <w:spacing w:val="-3"/>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3"/>
          <w:sz w:val="24"/>
          <w:szCs w:val="24"/>
        </w:rPr>
        <w:t>人</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，营业收入为</w:t>
      </w:r>
      <w:r>
        <w:rPr>
          <w:rFonts w:hint="eastAsia" w:ascii="宋体" w:hAnsi="宋体" w:eastAsia="宋体" w:cs="宋体"/>
          <w:spacing w:val="-3"/>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万元，资产总额为</w:t>
      </w:r>
    </w:p>
    <w:p w14:paraId="28927479">
      <w:pPr>
        <w:pStyle w:val="2"/>
        <w:tabs>
          <w:tab w:val="left" w:pos="1290"/>
        </w:tabs>
        <w:spacing w:before="143" w:line="190" w:lineRule="auto"/>
        <w:ind w:left="311"/>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63"/>
          <w:sz w:val="24"/>
          <w:szCs w:val="24"/>
        </w:rPr>
        <w:t xml:space="preserve"> </w:t>
      </w:r>
      <w:r>
        <w:rPr>
          <w:rFonts w:hint="eastAsia" w:ascii="宋体" w:hAnsi="宋体" w:eastAsia="宋体" w:cs="宋体"/>
          <w:spacing w:val="-9"/>
          <w:sz w:val="24"/>
          <w:szCs w:val="24"/>
        </w:rPr>
        <w:t>万元，属于</w:t>
      </w:r>
      <w:r>
        <w:rPr>
          <w:rFonts w:hint="eastAsia" w:ascii="宋体" w:hAnsi="宋体" w:eastAsia="宋体" w:cs="宋体"/>
          <w:i/>
          <w:iCs/>
          <w:spacing w:val="-9"/>
          <w:sz w:val="24"/>
          <w:szCs w:val="24"/>
          <w:u w:val="single" w:color="auto"/>
        </w:rPr>
        <w:t>（中型企业、小型企业、微型企业</w:t>
      </w:r>
      <w:r>
        <w:rPr>
          <w:rFonts w:hint="eastAsia" w:ascii="宋体" w:hAnsi="宋体" w:eastAsia="宋体" w:cs="宋体"/>
          <w:i/>
          <w:iCs/>
          <w:spacing w:val="-15"/>
          <w:sz w:val="24"/>
          <w:szCs w:val="24"/>
          <w:u w:val="single" w:color="auto"/>
        </w:rPr>
        <w:t>）</w:t>
      </w:r>
      <w:r>
        <w:rPr>
          <w:rFonts w:hint="eastAsia" w:ascii="宋体" w:hAnsi="宋体" w:eastAsia="宋体" w:cs="宋体"/>
          <w:spacing w:val="-15"/>
          <w:sz w:val="24"/>
          <w:szCs w:val="24"/>
        </w:rPr>
        <w:t>；</w:t>
      </w:r>
    </w:p>
    <w:p w14:paraId="7BA9D642">
      <w:pPr>
        <w:pStyle w:val="2"/>
        <w:spacing w:before="195" w:line="299" w:lineRule="auto"/>
        <w:ind w:left="338" w:right="199" w:firstLine="631"/>
        <w:rPr>
          <w:rFonts w:hint="eastAsia" w:ascii="宋体" w:hAnsi="宋体" w:eastAsia="宋体" w:cs="宋体"/>
          <w:sz w:val="24"/>
          <w:szCs w:val="24"/>
        </w:rPr>
      </w:pPr>
      <w:r>
        <w:rPr>
          <w:rFonts w:hint="eastAsia" w:ascii="宋体" w:hAnsi="宋体" w:eastAsia="宋体" w:cs="宋体"/>
          <w:spacing w:val="-10"/>
          <w:sz w:val="24"/>
          <w:szCs w:val="24"/>
        </w:rPr>
        <w:t xml:space="preserve">2. </w:t>
      </w:r>
      <w:r>
        <w:rPr>
          <w:rFonts w:hint="eastAsia" w:ascii="宋体" w:hAnsi="宋体" w:eastAsia="宋体" w:cs="宋体"/>
          <w:i/>
          <w:iCs/>
          <w:spacing w:val="-10"/>
          <w:sz w:val="24"/>
          <w:szCs w:val="24"/>
          <w:u w:val="single" w:color="auto"/>
        </w:rPr>
        <w:t>（标的名称</w:t>
      </w:r>
      <w:r>
        <w:rPr>
          <w:rFonts w:hint="eastAsia" w:ascii="宋体" w:hAnsi="宋体" w:eastAsia="宋体" w:cs="宋体"/>
          <w:i/>
          <w:iCs/>
          <w:spacing w:val="-37"/>
          <w:sz w:val="24"/>
          <w:szCs w:val="24"/>
          <w:u w:val="single" w:color="auto"/>
        </w:rPr>
        <w:t>）</w:t>
      </w:r>
      <w:r>
        <w:rPr>
          <w:rFonts w:hint="eastAsia" w:ascii="宋体" w:hAnsi="宋体" w:eastAsia="宋体" w:cs="宋体"/>
          <w:spacing w:val="-30"/>
          <w:sz w:val="24"/>
          <w:szCs w:val="24"/>
        </w:rPr>
        <w:t xml:space="preserve"> </w:t>
      </w:r>
      <w:r>
        <w:rPr>
          <w:rFonts w:hint="eastAsia" w:ascii="宋体" w:hAnsi="宋体" w:eastAsia="宋体" w:cs="宋体"/>
          <w:spacing w:val="-37"/>
          <w:sz w:val="24"/>
          <w:szCs w:val="24"/>
        </w:rPr>
        <w:t>，</w:t>
      </w:r>
      <w:r>
        <w:rPr>
          <w:rFonts w:hint="eastAsia" w:ascii="宋体" w:hAnsi="宋体" w:eastAsia="宋体" w:cs="宋体"/>
          <w:spacing w:val="-10"/>
          <w:sz w:val="24"/>
          <w:szCs w:val="24"/>
        </w:rPr>
        <w:t>属于</w:t>
      </w:r>
      <w:r>
        <w:rPr>
          <w:rFonts w:hint="eastAsia" w:ascii="宋体" w:hAnsi="宋体" w:eastAsia="宋体" w:cs="宋体"/>
          <w:i/>
          <w:iCs/>
          <w:spacing w:val="-10"/>
          <w:sz w:val="24"/>
          <w:szCs w:val="24"/>
        </w:rPr>
        <w:t>（</w:t>
      </w:r>
      <w:r>
        <w:rPr>
          <w:rFonts w:hint="eastAsia" w:ascii="宋体" w:hAnsi="宋体" w:eastAsia="宋体" w:cs="宋体"/>
          <w:i/>
          <w:iCs/>
          <w:spacing w:val="-10"/>
          <w:sz w:val="24"/>
          <w:szCs w:val="24"/>
          <w:u w:val="single" w:color="auto"/>
        </w:rPr>
        <w:t>采购文件中明确的所属行业）行业</w:t>
      </w:r>
      <w:r>
        <w:rPr>
          <w:rFonts w:hint="eastAsia" w:ascii="宋体" w:hAnsi="宋体" w:eastAsia="宋体" w:cs="宋体"/>
          <w:spacing w:val="-10"/>
          <w:sz w:val="24"/>
          <w:szCs w:val="24"/>
        </w:rPr>
        <w:t>；制造商为</w:t>
      </w:r>
      <w:r>
        <w:rPr>
          <w:rFonts w:hint="eastAsia" w:ascii="宋体" w:hAnsi="宋体" w:eastAsia="宋体" w:cs="宋体"/>
          <w:i/>
          <w:iCs/>
          <w:spacing w:val="-10"/>
          <w:sz w:val="24"/>
          <w:szCs w:val="24"/>
          <w:u w:val="single" w:color="auto"/>
        </w:rPr>
        <w:t>（企</w:t>
      </w:r>
      <w:r>
        <w:rPr>
          <w:rFonts w:hint="eastAsia" w:ascii="宋体" w:hAnsi="宋体" w:eastAsia="宋体" w:cs="宋体"/>
          <w:i/>
          <w:iCs/>
          <w:spacing w:val="-2"/>
          <w:sz w:val="24"/>
          <w:szCs w:val="24"/>
          <w:u w:val="single" w:color="auto"/>
        </w:rPr>
        <w:t>业名称</w:t>
      </w:r>
      <w:r>
        <w:rPr>
          <w:rFonts w:hint="eastAsia" w:ascii="宋体" w:hAnsi="宋体" w:eastAsia="宋体" w:cs="宋体"/>
          <w:i/>
          <w:iCs/>
          <w:spacing w:val="-19"/>
          <w:sz w:val="24"/>
          <w:szCs w:val="24"/>
          <w:u w:val="single" w:color="auto"/>
        </w:rPr>
        <w:t>）</w:t>
      </w:r>
      <w:r>
        <w:rPr>
          <w:rFonts w:hint="eastAsia" w:ascii="宋体" w:hAnsi="宋体" w:eastAsia="宋体" w:cs="宋体"/>
          <w:spacing w:val="-19"/>
          <w:sz w:val="24"/>
          <w:szCs w:val="24"/>
        </w:rPr>
        <w:t>，</w:t>
      </w:r>
      <w:r>
        <w:rPr>
          <w:rFonts w:hint="eastAsia" w:ascii="宋体" w:hAnsi="宋体" w:eastAsia="宋体" w:cs="宋体"/>
          <w:spacing w:val="-2"/>
          <w:sz w:val="24"/>
          <w:szCs w:val="24"/>
        </w:rPr>
        <w:t>从业人员</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rPr>
        <w:t>人</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，营业收入为</w:t>
      </w:r>
      <w:r>
        <w:rPr>
          <w:rFonts w:hint="eastAsia" w:ascii="宋体" w:hAnsi="宋体" w:eastAsia="宋体" w:cs="宋体"/>
          <w:spacing w:val="-3"/>
          <w:sz w:val="24"/>
          <w:szCs w:val="24"/>
          <w:u w:val="single" w:color="auto"/>
        </w:rPr>
        <w:t xml:space="preserve">        </w:t>
      </w:r>
      <w:r>
        <w:rPr>
          <w:rFonts w:hint="eastAsia" w:ascii="宋体" w:hAnsi="宋体" w:eastAsia="宋体" w:cs="宋体"/>
          <w:spacing w:val="-65"/>
          <w:sz w:val="24"/>
          <w:szCs w:val="24"/>
        </w:rPr>
        <w:t xml:space="preserve"> </w:t>
      </w:r>
      <w:r>
        <w:rPr>
          <w:rFonts w:hint="eastAsia" w:ascii="宋体" w:hAnsi="宋体" w:eastAsia="宋体" w:cs="宋体"/>
          <w:spacing w:val="-3"/>
          <w:sz w:val="24"/>
          <w:szCs w:val="24"/>
        </w:rPr>
        <w:t>万元</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，资产总额为</w:t>
      </w:r>
    </w:p>
    <w:p w14:paraId="66CA7A71">
      <w:pPr>
        <w:pStyle w:val="2"/>
        <w:tabs>
          <w:tab w:val="left" w:pos="1270"/>
        </w:tabs>
        <w:spacing w:before="16" w:line="190" w:lineRule="auto"/>
        <w:ind w:left="311"/>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64"/>
          <w:sz w:val="24"/>
          <w:szCs w:val="24"/>
        </w:rPr>
        <w:t xml:space="preserve"> </w:t>
      </w:r>
      <w:r>
        <w:rPr>
          <w:rFonts w:hint="eastAsia" w:ascii="宋体" w:hAnsi="宋体" w:eastAsia="宋体" w:cs="宋体"/>
          <w:spacing w:val="-9"/>
          <w:sz w:val="24"/>
          <w:szCs w:val="24"/>
        </w:rPr>
        <w:t>万元</w:t>
      </w:r>
      <w:r>
        <w:rPr>
          <w:rFonts w:hint="eastAsia" w:ascii="宋体" w:hAnsi="宋体" w:eastAsia="宋体" w:cs="宋体"/>
          <w:spacing w:val="-29"/>
          <w:sz w:val="24"/>
          <w:szCs w:val="24"/>
        </w:rPr>
        <w:t xml:space="preserve"> </w:t>
      </w:r>
      <w:r>
        <w:rPr>
          <w:rFonts w:hint="eastAsia" w:ascii="宋体" w:hAnsi="宋体" w:eastAsia="宋体" w:cs="宋体"/>
          <w:spacing w:val="-9"/>
          <w:sz w:val="24"/>
          <w:szCs w:val="24"/>
        </w:rPr>
        <w:t>，属于</w:t>
      </w:r>
      <w:r>
        <w:rPr>
          <w:rFonts w:hint="eastAsia" w:ascii="宋体" w:hAnsi="宋体" w:eastAsia="宋体" w:cs="宋体"/>
          <w:i/>
          <w:iCs/>
          <w:spacing w:val="-9"/>
          <w:sz w:val="24"/>
          <w:szCs w:val="24"/>
          <w:u w:val="single" w:color="auto"/>
        </w:rPr>
        <w:t>（中型企业、小型企业、微型企业</w:t>
      </w:r>
      <w:r>
        <w:rPr>
          <w:rFonts w:hint="eastAsia" w:ascii="宋体" w:hAnsi="宋体" w:eastAsia="宋体" w:cs="宋体"/>
          <w:i/>
          <w:iCs/>
          <w:spacing w:val="-15"/>
          <w:sz w:val="24"/>
          <w:szCs w:val="24"/>
          <w:u w:val="single" w:color="auto"/>
        </w:rPr>
        <w:t>）</w:t>
      </w:r>
      <w:r>
        <w:rPr>
          <w:rFonts w:hint="eastAsia" w:ascii="宋体" w:hAnsi="宋体" w:eastAsia="宋体" w:cs="宋体"/>
          <w:spacing w:val="-15"/>
          <w:sz w:val="24"/>
          <w:szCs w:val="24"/>
        </w:rPr>
        <w:t>；</w:t>
      </w:r>
    </w:p>
    <w:p w14:paraId="534ACC8E">
      <w:pPr>
        <w:spacing w:line="263" w:lineRule="auto"/>
        <w:rPr>
          <w:rFonts w:hint="eastAsia" w:ascii="宋体" w:hAnsi="宋体" w:eastAsia="宋体" w:cs="宋体"/>
          <w:sz w:val="24"/>
          <w:szCs w:val="24"/>
        </w:rPr>
      </w:pPr>
    </w:p>
    <w:p w14:paraId="4311FB02">
      <w:pPr>
        <w:spacing w:before="70" w:line="80" w:lineRule="exact"/>
        <w:ind w:left="995"/>
        <w:rPr>
          <w:rFonts w:hint="eastAsia" w:ascii="宋体" w:hAnsi="宋体" w:eastAsia="宋体" w:cs="宋体"/>
          <w:sz w:val="24"/>
          <w:szCs w:val="24"/>
        </w:rPr>
      </w:pPr>
      <w:r>
        <w:rPr>
          <w:rFonts w:hint="eastAsia" w:ascii="宋体" w:hAnsi="宋体" w:eastAsia="宋体" w:cs="宋体"/>
          <w:spacing w:val="-2"/>
          <w:position w:val="1"/>
          <w:sz w:val="24"/>
          <w:szCs w:val="24"/>
        </w:rPr>
        <w:t>……</w:t>
      </w:r>
    </w:p>
    <w:p w14:paraId="25B3007D">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以上企业，不属于大企业的分支机构，不存在控股股东为大企业的情形，</w:t>
      </w:r>
      <w:r>
        <w:rPr>
          <w:rFonts w:hint="eastAsia" w:ascii="宋体" w:hAnsi="宋体" w:eastAsia="宋体" w:cs="宋体"/>
          <w:spacing w:val="-1"/>
          <w:sz w:val="24"/>
          <w:szCs w:val="24"/>
        </w:rPr>
        <w:t>也不存在与大企业的负责人为同一人的情形。</w:t>
      </w:r>
    </w:p>
    <w:p w14:paraId="7EAA01E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w:t>
      </w:r>
      <w:r>
        <w:rPr>
          <w:rFonts w:hint="eastAsia" w:ascii="宋体" w:hAnsi="宋体" w:eastAsia="宋体" w:cs="宋体"/>
          <w:spacing w:val="-1"/>
          <w:sz w:val="24"/>
          <w:szCs w:val="24"/>
        </w:rPr>
        <w:t>相应责任。</w:t>
      </w:r>
    </w:p>
    <w:p w14:paraId="122EF482">
      <w:pPr>
        <w:spacing w:line="302" w:lineRule="auto"/>
        <w:rPr>
          <w:rFonts w:hint="eastAsia" w:ascii="宋体" w:hAnsi="宋体" w:eastAsia="宋体" w:cs="宋体"/>
          <w:sz w:val="24"/>
          <w:szCs w:val="24"/>
        </w:rPr>
      </w:pPr>
    </w:p>
    <w:p w14:paraId="5BA8A743">
      <w:pPr>
        <w:spacing w:line="303" w:lineRule="auto"/>
        <w:rPr>
          <w:rFonts w:hint="eastAsia" w:ascii="宋体" w:hAnsi="宋体" w:eastAsia="宋体" w:cs="宋体"/>
          <w:sz w:val="24"/>
          <w:szCs w:val="24"/>
        </w:rPr>
      </w:pPr>
    </w:p>
    <w:p w14:paraId="68A9E8E3">
      <w:pPr>
        <w:pStyle w:val="2"/>
        <w:spacing w:before="103" w:line="196" w:lineRule="auto"/>
        <w:ind w:left="5825"/>
        <w:rPr>
          <w:rFonts w:hint="eastAsia" w:ascii="宋体" w:hAnsi="宋体" w:eastAsia="宋体" w:cs="宋体"/>
          <w:sz w:val="24"/>
          <w:szCs w:val="24"/>
        </w:rPr>
      </w:pPr>
      <w:r>
        <w:rPr>
          <w:rFonts w:hint="eastAsia" w:ascii="宋体" w:hAnsi="宋体" w:eastAsia="宋体" w:cs="宋体"/>
          <w:spacing w:val="-1"/>
          <w:sz w:val="24"/>
          <w:szCs w:val="24"/>
        </w:rPr>
        <w:t>企业名称（盖章</w:t>
      </w:r>
      <w:r>
        <w:rPr>
          <w:rFonts w:hint="eastAsia" w:ascii="宋体" w:hAnsi="宋体" w:eastAsia="宋体" w:cs="宋体"/>
          <w:spacing w:val="-61"/>
          <w:sz w:val="24"/>
          <w:szCs w:val="24"/>
        </w:rPr>
        <w:t>）：</w:t>
      </w:r>
      <w:r>
        <w:rPr>
          <w:rFonts w:hint="eastAsia" w:ascii="宋体" w:hAnsi="宋体" w:eastAsia="宋体" w:cs="宋体"/>
          <w:sz w:val="24"/>
          <w:szCs w:val="24"/>
          <w:u w:val="single" w:color="auto"/>
        </w:rPr>
        <w:t xml:space="preserve">              </w:t>
      </w:r>
    </w:p>
    <w:p w14:paraId="23B6087D">
      <w:pPr>
        <w:pStyle w:val="2"/>
        <w:spacing w:before="185" w:line="200" w:lineRule="auto"/>
        <w:ind w:left="7076"/>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z w:val="24"/>
          <w:szCs w:val="24"/>
          <w:u w:val="single" w:color="auto"/>
        </w:rPr>
        <w:t xml:space="preserve">              </w:t>
      </w:r>
    </w:p>
    <w:p w14:paraId="712455A7">
      <w:pPr>
        <w:spacing w:line="309" w:lineRule="auto"/>
        <w:rPr>
          <w:rFonts w:hint="eastAsia" w:ascii="宋体" w:hAnsi="宋体" w:eastAsia="宋体" w:cs="宋体"/>
          <w:sz w:val="24"/>
          <w:szCs w:val="24"/>
        </w:rPr>
      </w:pPr>
    </w:p>
    <w:p w14:paraId="4F2DF932">
      <w:pPr>
        <w:spacing w:line="309" w:lineRule="auto"/>
        <w:rPr>
          <w:rFonts w:hint="eastAsia" w:ascii="宋体" w:hAnsi="宋体" w:eastAsia="宋体" w:cs="宋体"/>
          <w:sz w:val="24"/>
          <w:szCs w:val="24"/>
        </w:rPr>
      </w:pPr>
    </w:p>
    <w:p w14:paraId="05AC98D4">
      <w:pPr>
        <w:spacing w:line="310" w:lineRule="auto"/>
        <w:rPr>
          <w:rFonts w:hint="eastAsia" w:ascii="宋体" w:hAnsi="宋体" w:eastAsia="宋体" w:cs="宋体"/>
          <w:sz w:val="24"/>
          <w:szCs w:val="24"/>
        </w:rPr>
      </w:pPr>
      <w:r>
        <w:rPr>
          <w:rFonts w:hint="eastAsia" w:ascii="宋体" w:hAnsi="宋体" w:eastAsia="宋体" w:cs="宋体"/>
          <w:sz w:val="24"/>
          <w:szCs w:val="24"/>
        </w:rPr>
        <w:pict>
          <v:shape id="_x0000_s1029" o:spid="_x0000_s1029" style="position:absolute;left:0pt;margin-left:0.2pt;margin-top:17.95pt;height:0.5pt;width:447.35pt;z-index:251660288;mso-width-relative:page;mso-height-relative:page;" filled="f" stroked="t" coordsize="8947,10" path="m0,4l8946,4e">
            <v:fill on="f" focussize="0,0"/>
            <v:stroke weight="0.48pt" color="#000000" miterlimit="2" joinstyle="bevel"/>
            <v:imagedata o:title=""/>
            <o:lock v:ext="edit"/>
          </v:shape>
        </w:pict>
      </w:r>
    </w:p>
    <w:p w14:paraId="7B5A707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rPr>
      </w:pPr>
      <w:r>
        <w:rPr>
          <w:rFonts w:hint="eastAsia" w:ascii="宋体" w:hAnsi="宋体" w:eastAsia="宋体" w:cs="宋体"/>
          <w:spacing w:val="8"/>
          <w:sz w:val="24"/>
          <w:szCs w:val="24"/>
          <w:lang w:val="en-US" w:eastAsia="zh-CN"/>
        </w:rPr>
        <w:t>注：</w:t>
      </w:r>
      <w:r>
        <w:rPr>
          <w:rFonts w:hint="eastAsia" w:ascii="宋体" w:hAnsi="宋体" w:eastAsia="宋体" w:cs="宋体"/>
          <w:spacing w:val="8"/>
          <w:sz w:val="24"/>
          <w:szCs w:val="24"/>
        </w:rPr>
        <w:t>从业人员、营业收入、资产总额填报上一年度数据，</w:t>
      </w:r>
      <w:r>
        <w:rPr>
          <w:rFonts w:hint="eastAsia" w:ascii="宋体" w:hAnsi="宋体" w:eastAsia="宋体" w:cs="宋体"/>
          <w:spacing w:val="7"/>
          <w:sz w:val="24"/>
          <w:szCs w:val="24"/>
        </w:rPr>
        <w:t>无上一年度数据的新成立企业可不填报。</w:t>
      </w:r>
    </w:p>
    <w:p w14:paraId="54A02DE9">
      <w:pPr>
        <w:spacing w:line="207" w:lineRule="auto"/>
        <w:rPr>
          <w:rFonts w:hint="eastAsia" w:ascii="宋体" w:hAnsi="宋体" w:eastAsia="宋体" w:cs="宋体"/>
          <w:sz w:val="24"/>
          <w:szCs w:val="24"/>
        </w:rPr>
        <w:sectPr>
          <w:headerReference r:id="rId36" w:type="default"/>
          <w:footerReference r:id="rId37" w:type="default"/>
          <w:pgSz w:w="11905" w:h="16838"/>
          <w:pgMar w:top="1361" w:right="1417" w:bottom="1247" w:left="1417" w:header="839" w:footer="884" w:gutter="0"/>
          <w:pgNumType w:fmt="numberInDash"/>
          <w:cols w:space="0" w:num="1"/>
          <w:rtlGutter w:val="0"/>
          <w:docGrid w:linePitch="0" w:charSpace="0"/>
        </w:sectPr>
      </w:pPr>
    </w:p>
    <w:p w14:paraId="7D63DF0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bCs/>
          <w:spacing w:val="7"/>
          <w:sz w:val="24"/>
          <w:szCs w:val="24"/>
        </w:rPr>
      </w:pPr>
      <w:r>
        <w:rPr>
          <w:rFonts w:hint="eastAsia" w:ascii="宋体" w:hAnsi="宋体" w:eastAsia="宋体" w:cs="宋体"/>
          <w:b/>
          <w:bCs/>
          <w:spacing w:val="7"/>
          <w:sz w:val="24"/>
          <w:szCs w:val="24"/>
        </w:rPr>
        <w:t>残疾人福利性单位声明函格式</w:t>
      </w:r>
    </w:p>
    <w:p w14:paraId="352B1E33">
      <w:pPr>
        <w:spacing w:line="299" w:lineRule="auto"/>
        <w:rPr>
          <w:rFonts w:hint="eastAsia" w:ascii="宋体" w:hAnsi="宋体" w:eastAsia="宋体" w:cs="宋体"/>
          <w:sz w:val="24"/>
          <w:szCs w:val="24"/>
        </w:rPr>
      </w:pPr>
    </w:p>
    <w:p w14:paraId="66FB382C">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outlineLvl w:val="9"/>
        <w:rPr>
          <w:rFonts w:hint="eastAsia" w:ascii="宋体" w:hAnsi="宋体" w:eastAsia="宋体" w:cs="宋体"/>
          <w:sz w:val="24"/>
          <w:szCs w:val="24"/>
        </w:rPr>
      </w:pPr>
      <w:r>
        <w:rPr>
          <w:rFonts w:hint="eastAsia" w:ascii="宋体" w:hAnsi="宋体" w:eastAsia="宋体" w:cs="宋体"/>
          <w:spacing w:val="8"/>
          <w:sz w:val="24"/>
          <w:szCs w:val="24"/>
        </w:rPr>
        <w:t>本单位郑重声明，根据《财政部</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民政部</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中国残疾人联合会关于促进</w:t>
      </w:r>
      <w:r>
        <w:rPr>
          <w:rFonts w:hint="eastAsia" w:ascii="宋体" w:hAnsi="宋体" w:eastAsia="宋体" w:cs="宋体"/>
          <w:spacing w:val="7"/>
          <w:sz w:val="24"/>
          <w:szCs w:val="24"/>
        </w:rPr>
        <w:t>残疾人就</w:t>
      </w:r>
      <w:r>
        <w:rPr>
          <w:rFonts w:hint="eastAsia" w:ascii="宋体" w:hAnsi="宋体" w:eastAsia="宋体" w:cs="宋体"/>
          <w:spacing w:val="4"/>
          <w:sz w:val="24"/>
          <w:szCs w:val="24"/>
        </w:rPr>
        <w:t>业政府采购政策的通知》（财库〔2017〕141号）的规定，</w:t>
      </w:r>
      <w:r>
        <w:rPr>
          <w:rFonts w:hint="eastAsia" w:ascii="宋体" w:hAnsi="宋体" w:eastAsia="宋体" w:cs="宋体"/>
          <w:spacing w:val="3"/>
          <w:sz w:val="24"/>
          <w:szCs w:val="24"/>
        </w:rPr>
        <w:t>本单位</w:t>
      </w:r>
      <w:r>
        <w:rPr>
          <w:rFonts w:hint="eastAsia" w:ascii="宋体" w:hAnsi="宋体" w:eastAsia="宋体" w:cs="宋体"/>
          <w:b/>
          <w:bCs/>
          <w:spacing w:val="3"/>
          <w:sz w:val="24"/>
          <w:szCs w:val="24"/>
        </w:rPr>
        <w:t>（请进行选择</w:t>
      </w:r>
      <w:r>
        <w:rPr>
          <w:rFonts w:hint="eastAsia" w:ascii="宋体" w:hAnsi="宋体" w:eastAsia="宋体" w:cs="宋体"/>
          <w:b/>
          <w:bCs/>
          <w:spacing w:val="-51"/>
          <w:w w:val="87"/>
          <w:sz w:val="24"/>
          <w:szCs w:val="24"/>
        </w:rPr>
        <w:t>）</w:t>
      </w:r>
      <w:r>
        <w:rPr>
          <w:rFonts w:hint="eastAsia" w:ascii="宋体" w:hAnsi="宋体" w:eastAsia="宋体" w:cs="宋体"/>
          <w:spacing w:val="-51"/>
          <w:w w:val="87"/>
          <w:sz w:val="24"/>
          <w:szCs w:val="24"/>
        </w:rPr>
        <w:t>：</w:t>
      </w:r>
    </w:p>
    <w:p w14:paraId="32AD122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2" w:firstLineChars="200"/>
        <w:textAlignment w:val="baseline"/>
        <w:outlineLvl w:val="9"/>
        <w:rPr>
          <w:rFonts w:hint="eastAsia" w:ascii="宋体" w:hAnsi="宋体" w:eastAsia="宋体" w:cs="宋体"/>
          <w:sz w:val="24"/>
          <w:szCs w:val="24"/>
        </w:rPr>
      </w:pPr>
      <w:r>
        <w:rPr>
          <w:rFonts w:hint="eastAsia" w:ascii="宋体" w:hAnsi="宋体" w:eastAsia="宋体" w:cs="宋体"/>
          <w:b/>
          <w:bCs/>
          <w:spacing w:val="15"/>
          <w:sz w:val="24"/>
          <w:szCs w:val="24"/>
        </w:rPr>
        <w:t>□不属于符合条件的残疾人福利性单位。</w:t>
      </w:r>
    </w:p>
    <w:p w14:paraId="41FB6A6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textAlignment w:val="baseline"/>
        <w:outlineLvl w:val="9"/>
        <w:rPr>
          <w:rFonts w:hint="eastAsia" w:ascii="宋体" w:hAnsi="宋体" w:eastAsia="宋体" w:cs="宋体"/>
          <w:sz w:val="24"/>
          <w:szCs w:val="24"/>
        </w:rPr>
      </w:pPr>
      <w:r>
        <w:rPr>
          <w:rFonts w:hint="eastAsia" w:ascii="宋体" w:hAnsi="宋体" w:eastAsia="宋体" w:cs="宋体"/>
          <w:b/>
          <w:bCs/>
          <w:spacing w:val="12"/>
          <w:sz w:val="24"/>
          <w:szCs w:val="24"/>
        </w:rPr>
        <w:t>□属于符合条件的残疾人福利性单位，</w:t>
      </w:r>
      <w:r>
        <w:rPr>
          <w:rFonts w:hint="eastAsia" w:ascii="宋体" w:hAnsi="宋体" w:eastAsia="宋体" w:cs="宋体"/>
          <w:spacing w:val="12"/>
          <w:sz w:val="24"/>
          <w:szCs w:val="24"/>
        </w:rPr>
        <w:t>且本单位参加</w:t>
      </w:r>
      <w:r>
        <w:rPr>
          <w:rFonts w:hint="eastAsia" w:ascii="宋体" w:hAnsi="宋体" w:eastAsia="宋体" w:cs="宋体"/>
          <w:spacing w:val="4"/>
          <w:sz w:val="24"/>
          <w:szCs w:val="24"/>
          <w:u w:val="single" w:color="auto"/>
        </w:rPr>
        <w:t xml:space="preserve">          </w:t>
      </w:r>
      <w:r>
        <w:rPr>
          <w:rFonts w:hint="eastAsia" w:ascii="宋体" w:hAnsi="宋体" w:eastAsia="宋体" w:cs="宋体"/>
          <w:spacing w:val="-57"/>
          <w:sz w:val="24"/>
          <w:szCs w:val="24"/>
        </w:rPr>
        <w:t xml:space="preserve"> </w:t>
      </w:r>
      <w:r>
        <w:rPr>
          <w:rFonts w:hint="eastAsia" w:ascii="宋体" w:hAnsi="宋体" w:eastAsia="宋体" w:cs="宋体"/>
          <w:spacing w:val="12"/>
          <w:sz w:val="24"/>
          <w:szCs w:val="24"/>
        </w:rPr>
        <w:t>单位的</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12"/>
          <w:sz w:val="24"/>
          <w:szCs w:val="24"/>
        </w:rPr>
        <w:t>项目</w:t>
      </w:r>
      <w:r>
        <w:rPr>
          <w:rFonts w:hint="eastAsia" w:ascii="宋体" w:hAnsi="宋体" w:eastAsia="宋体" w:cs="宋体"/>
          <w:spacing w:val="10"/>
          <w:sz w:val="24"/>
          <w:szCs w:val="24"/>
        </w:rPr>
        <w:t>采购活动提供本单位制造的货物（由本单位承担工程/提供服务</w:t>
      </w:r>
      <w:r>
        <w:rPr>
          <w:rFonts w:hint="eastAsia" w:ascii="宋体" w:hAnsi="宋体" w:eastAsia="宋体" w:cs="宋体"/>
          <w:spacing w:val="-39"/>
          <w:sz w:val="24"/>
          <w:szCs w:val="24"/>
        </w:rPr>
        <w:t>），</w:t>
      </w:r>
      <w:r>
        <w:rPr>
          <w:rFonts w:hint="eastAsia" w:ascii="宋体" w:hAnsi="宋体" w:eastAsia="宋体" w:cs="宋体"/>
          <w:spacing w:val="10"/>
          <w:sz w:val="24"/>
          <w:szCs w:val="24"/>
        </w:rPr>
        <w:t>或者</w:t>
      </w:r>
      <w:r>
        <w:rPr>
          <w:rFonts w:hint="eastAsia" w:ascii="宋体" w:hAnsi="宋体" w:eastAsia="宋体" w:cs="宋体"/>
          <w:spacing w:val="9"/>
          <w:sz w:val="24"/>
          <w:szCs w:val="24"/>
        </w:rPr>
        <w:t>提供其他残疾人福利性单位制造的货物（不包括使用非残疾人福利性单位注</w:t>
      </w:r>
      <w:r>
        <w:rPr>
          <w:rFonts w:hint="eastAsia" w:ascii="宋体" w:hAnsi="宋体" w:eastAsia="宋体" w:cs="宋体"/>
          <w:spacing w:val="8"/>
          <w:sz w:val="24"/>
          <w:szCs w:val="24"/>
        </w:rPr>
        <w:t>册商标的货物）。</w:t>
      </w:r>
    </w:p>
    <w:p w14:paraId="063385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2" w:firstLineChars="200"/>
        <w:textAlignment w:val="baseline"/>
        <w:outlineLvl w:val="9"/>
        <w:rPr>
          <w:rFonts w:hint="eastAsia" w:ascii="宋体" w:hAnsi="宋体" w:eastAsia="宋体" w:cs="宋体"/>
          <w:sz w:val="24"/>
          <w:szCs w:val="24"/>
        </w:rPr>
      </w:pPr>
      <w:r>
        <w:rPr>
          <w:rFonts w:hint="eastAsia" w:ascii="宋体" w:hAnsi="宋体" w:eastAsia="宋体" w:cs="宋体"/>
          <w:b/>
          <w:bCs/>
          <w:spacing w:val="10"/>
          <w:sz w:val="24"/>
          <w:szCs w:val="24"/>
        </w:rPr>
        <w:t>本单位对上述声明的真实性负责。如有虚假，将</w:t>
      </w:r>
      <w:r>
        <w:rPr>
          <w:rFonts w:hint="eastAsia" w:ascii="宋体" w:hAnsi="宋体" w:eastAsia="宋体" w:cs="宋体"/>
          <w:b/>
          <w:bCs/>
          <w:spacing w:val="9"/>
          <w:sz w:val="24"/>
          <w:szCs w:val="24"/>
        </w:rPr>
        <w:t>依法承担相应责任。</w:t>
      </w:r>
    </w:p>
    <w:p w14:paraId="5F237868">
      <w:pPr>
        <w:spacing w:line="262" w:lineRule="auto"/>
        <w:rPr>
          <w:rFonts w:hint="eastAsia" w:ascii="宋体" w:hAnsi="宋体" w:eastAsia="宋体" w:cs="宋体"/>
          <w:sz w:val="24"/>
          <w:szCs w:val="24"/>
        </w:rPr>
      </w:pPr>
    </w:p>
    <w:p w14:paraId="7D654ECF">
      <w:pPr>
        <w:spacing w:line="262" w:lineRule="auto"/>
        <w:rPr>
          <w:rFonts w:hint="eastAsia" w:ascii="宋体" w:hAnsi="宋体" w:eastAsia="宋体" w:cs="宋体"/>
          <w:sz w:val="24"/>
          <w:szCs w:val="24"/>
        </w:rPr>
      </w:pPr>
    </w:p>
    <w:p w14:paraId="10012F55">
      <w:pPr>
        <w:spacing w:line="262" w:lineRule="auto"/>
        <w:rPr>
          <w:rFonts w:hint="eastAsia" w:ascii="宋体" w:hAnsi="宋体" w:eastAsia="宋体" w:cs="宋体"/>
          <w:sz w:val="24"/>
          <w:szCs w:val="24"/>
        </w:rPr>
      </w:pPr>
    </w:p>
    <w:p w14:paraId="182CFE2B">
      <w:pPr>
        <w:spacing w:line="262" w:lineRule="auto"/>
        <w:rPr>
          <w:rFonts w:hint="eastAsia" w:ascii="宋体" w:hAnsi="宋体" w:eastAsia="宋体" w:cs="宋体"/>
          <w:sz w:val="24"/>
          <w:szCs w:val="24"/>
        </w:rPr>
      </w:pPr>
    </w:p>
    <w:p w14:paraId="2C0066D6">
      <w:pPr>
        <w:spacing w:line="262" w:lineRule="auto"/>
        <w:rPr>
          <w:rFonts w:hint="eastAsia" w:ascii="宋体" w:hAnsi="宋体" w:eastAsia="宋体" w:cs="宋体"/>
          <w:sz w:val="24"/>
          <w:szCs w:val="24"/>
        </w:rPr>
      </w:pPr>
    </w:p>
    <w:p w14:paraId="341AD3D9">
      <w:pPr>
        <w:pStyle w:val="2"/>
        <w:spacing w:before="103" w:line="196" w:lineRule="auto"/>
        <w:ind w:left="3930"/>
        <w:rPr>
          <w:rFonts w:hint="eastAsia" w:ascii="宋体" w:hAnsi="宋体" w:eastAsia="宋体" w:cs="宋体"/>
          <w:sz w:val="24"/>
          <w:szCs w:val="24"/>
        </w:rPr>
      </w:pPr>
      <w:r>
        <w:rPr>
          <w:rFonts w:hint="eastAsia" w:ascii="宋体" w:hAnsi="宋体" w:eastAsia="宋体" w:cs="宋体"/>
          <w:spacing w:val="9"/>
          <w:sz w:val="24"/>
          <w:szCs w:val="24"/>
        </w:rPr>
        <w:t>单位名称（盖章</w:t>
      </w:r>
      <w:r>
        <w:rPr>
          <w:rFonts w:hint="eastAsia" w:ascii="宋体" w:hAnsi="宋体" w:eastAsia="宋体" w:cs="宋体"/>
          <w:spacing w:val="-28"/>
          <w:sz w:val="24"/>
          <w:szCs w:val="24"/>
        </w:rPr>
        <w:t>）：</w:t>
      </w:r>
    </w:p>
    <w:p w14:paraId="239D64DF">
      <w:pPr>
        <w:pStyle w:val="2"/>
        <w:spacing w:before="252" w:line="200" w:lineRule="auto"/>
        <w:ind w:left="4016"/>
        <w:rPr>
          <w:rFonts w:hint="eastAsia" w:ascii="宋体" w:hAnsi="宋体" w:eastAsia="宋体" w:cs="宋体"/>
          <w:sz w:val="24"/>
          <w:szCs w:val="24"/>
        </w:rPr>
      </w:pPr>
      <w:r>
        <w:rPr>
          <w:rFonts w:hint="eastAsia" w:ascii="宋体" w:hAnsi="宋体" w:eastAsia="宋体" w:cs="宋体"/>
          <w:spacing w:val="-20"/>
          <w:sz w:val="24"/>
          <w:szCs w:val="24"/>
        </w:rPr>
        <w:t>日</w:t>
      </w:r>
      <w:r>
        <w:rPr>
          <w:rFonts w:hint="eastAsia" w:ascii="宋体" w:hAnsi="宋体" w:eastAsia="宋体" w:cs="宋体"/>
          <w:spacing w:val="22"/>
          <w:sz w:val="24"/>
          <w:szCs w:val="24"/>
        </w:rPr>
        <w:t xml:space="preserve">   </w:t>
      </w:r>
      <w:r>
        <w:rPr>
          <w:rFonts w:hint="eastAsia" w:ascii="宋体" w:hAnsi="宋体" w:eastAsia="宋体" w:cs="宋体"/>
          <w:spacing w:val="-20"/>
          <w:sz w:val="24"/>
          <w:szCs w:val="24"/>
        </w:rPr>
        <w:t>期：</w:t>
      </w:r>
    </w:p>
    <w:p w14:paraId="462D6268">
      <w:pPr>
        <w:spacing w:line="200" w:lineRule="auto"/>
        <w:rPr>
          <w:rFonts w:hint="eastAsia" w:ascii="宋体" w:hAnsi="宋体" w:eastAsia="宋体" w:cs="宋体"/>
          <w:sz w:val="24"/>
          <w:szCs w:val="24"/>
        </w:rPr>
        <w:sectPr>
          <w:headerReference r:id="rId38" w:type="default"/>
          <w:footerReference r:id="rId39" w:type="default"/>
          <w:pgSz w:w="11905" w:h="16838"/>
          <w:pgMar w:top="1361" w:right="1417" w:bottom="1247" w:left="1417" w:header="839" w:footer="884" w:gutter="0"/>
          <w:pgNumType w:fmt="numberInDash"/>
          <w:cols w:space="0" w:num="1"/>
          <w:rtlGutter w:val="0"/>
          <w:docGrid w:linePitch="0" w:charSpace="0"/>
        </w:sectPr>
      </w:pPr>
    </w:p>
    <w:p w14:paraId="30800623">
      <w:pPr>
        <w:pStyle w:val="2"/>
        <w:keepNext w:val="0"/>
        <w:keepLines w:val="0"/>
        <w:pageBreakBefore w:val="0"/>
        <w:widowControl/>
        <w:kinsoku w:val="0"/>
        <w:wordWrap/>
        <w:overflowPunct/>
        <w:topLinePunct w:val="0"/>
        <w:autoSpaceDE w:val="0"/>
        <w:autoSpaceDN w:val="0"/>
        <w:bidi w:val="0"/>
        <w:adjustRightInd w:val="0"/>
        <w:snapToGrid w:val="0"/>
        <w:spacing w:before="273" w:line="202" w:lineRule="auto"/>
        <w:ind w:left="28"/>
        <w:textAlignment w:val="baseline"/>
        <w:outlineLvl w:val="2"/>
        <w:rPr>
          <w:rFonts w:hint="eastAsia" w:ascii="宋体" w:hAnsi="宋体" w:eastAsia="宋体" w:cs="宋体"/>
          <w:sz w:val="24"/>
          <w:szCs w:val="24"/>
          <w:lang w:val="en-US" w:eastAsia="zh-CN"/>
        </w:rPr>
      </w:pPr>
      <w:bookmarkStart w:id="161" w:name="_Toc16799"/>
      <w:r>
        <w:rPr>
          <w:rFonts w:hint="eastAsia" w:ascii="宋体" w:hAnsi="宋体" w:eastAsia="宋体" w:cs="宋体"/>
          <w:sz w:val="24"/>
          <w:szCs w:val="24"/>
          <w:lang w:val="en-US" w:eastAsia="zh-CN"/>
        </w:rPr>
        <w:t>8.</w:t>
      </w:r>
      <w:r>
        <w:rPr>
          <w:rFonts w:hint="eastAsia" w:ascii="宋体" w:hAnsi="宋体" w:eastAsia="宋体" w:cs="宋体"/>
          <w:sz w:val="24"/>
          <w:szCs w:val="24"/>
        </w:rPr>
        <w:t>关于符合本国产品标准的声明函</w:t>
      </w:r>
      <w:bookmarkEnd w:id="161"/>
    </w:p>
    <w:p w14:paraId="58FA7AE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Style w:val="17"/>
          <w:rFonts w:hint="eastAsia" w:ascii="宋体" w:hAnsi="宋体" w:eastAsia="宋体" w:cs="宋体"/>
          <w:i w:val="0"/>
          <w:iCs w:val="0"/>
          <w:caps w:val="0"/>
          <w:color w:val="333333"/>
          <w:spacing w:val="0"/>
          <w:sz w:val="28"/>
          <w:szCs w:val="28"/>
          <w:shd w:val="clear" w:fill="FFFFFF"/>
        </w:rPr>
      </w:pPr>
    </w:p>
    <w:p w14:paraId="3F4CFE5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0"/>
        <w:jc w:val="center"/>
        <w:rPr>
          <w:rFonts w:hint="eastAsia" w:ascii="宋体" w:hAnsi="宋体" w:eastAsia="宋体" w:cs="宋体"/>
          <w:i w:val="0"/>
          <w:iCs w:val="0"/>
          <w:caps w:val="0"/>
          <w:color w:val="333333"/>
          <w:spacing w:val="0"/>
          <w:sz w:val="28"/>
          <w:szCs w:val="28"/>
        </w:rPr>
      </w:pPr>
      <w:r>
        <w:rPr>
          <w:rStyle w:val="17"/>
          <w:rFonts w:hint="eastAsia" w:ascii="宋体" w:hAnsi="宋体" w:eastAsia="宋体" w:cs="宋体"/>
          <w:i w:val="0"/>
          <w:iCs w:val="0"/>
          <w:caps w:val="0"/>
          <w:color w:val="333333"/>
          <w:spacing w:val="0"/>
          <w:sz w:val="28"/>
          <w:szCs w:val="28"/>
          <w:shd w:val="clear" w:fill="FFFFFF"/>
        </w:rPr>
        <w:t>关于符合本国产品标准的声明函</w:t>
      </w:r>
    </w:p>
    <w:p w14:paraId="635C44D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ind w:left="0" w:right="0" w:firstLine="420"/>
        <w:rPr>
          <w:rFonts w:hint="eastAsia" w:ascii="宋体" w:hAnsi="宋体" w:eastAsia="宋体" w:cs="宋体"/>
          <w:i w:val="0"/>
          <w:iCs w:val="0"/>
          <w:caps w:val="0"/>
          <w:color w:val="333333"/>
          <w:spacing w:val="0"/>
          <w:sz w:val="19"/>
          <w:szCs w:val="19"/>
        </w:rPr>
      </w:pPr>
    </w:p>
    <w:p w14:paraId="36C73B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5391DE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Style w:val="18"/>
          <w:rFonts w:hint="eastAsia" w:ascii="宋体" w:hAnsi="宋体" w:eastAsia="宋体" w:cs="宋体"/>
          <w:i w:val="0"/>
          <w:iCs w:val="0"/>
          <w:caps w:val="0"/>
          <w:color w:val="333333"/>
          <w:spacing w:val="0"/>
          <w:sz w:val="24"/>
          <w:szCs w:val="24"/>
          <w:u w:val="single"/>
          <w:shd w:val="clear" w:fill="FFFFFF"/>
        </w:rPr>
        <w:t>（产品名称1）</w:t>
      </w:r>
      <w:r>
        <w:rPr>
          <w:rStyle w:val="18"/>
          <w:rFonts w:hint="eastAsia" w:ascii="宋体" w:hAnsi="宋体" w:eastAsia="宋体" w:cs="宋体"/>
          <w:i w:val="0"/>
          <w:iCs w:val="0"/>
          <w:caps w:val="0"/>
          <w:color w:val="333333"/>
          <w:spacing w:val="0"/>
          <w:sz w:val="24"/>
          <w:szCs w:val="24"/>
          <w:u w:val="none"/>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Style w:val="18"/>
          <w:rFonts w:hint="eastAsia" w:ascii="宋体" w:hAnsi="宋体" w:eastAsia="宋体" w:cs="宋体"/>
          <w:i w:val="0"/>
          <w:iCs w:val="0"/>
          <w:caps w:val="0"/>
          <w:color w:val="333333"/>
          <w:spacing w:val="0"/>
          <w:sz w:val="24"/>
          <w:szCs w:val="24"/>
          <w:u w:val="single"/>
          <w:shd w:val="clear" w:fill="FFFFFF"/>
        </w:rPr>
        <w:t>（厂名）</w:t>
      </w:r>
      <w:r>
        <w:rPr>
          <w:rStyle w:val="18"/>
          <w:rFonts w:hint="eastAsia" w:ascii="宋体" w:hAnsi="宋体" w:eastAsia="宋体" w:cs="宋体"/>
          <w:i w:val="0"/>
          <w:iCs w:val="0"/>
          <w:caps w:val="0"/>
          <w:color w:val="333333"/>
          <w:spacing w:val="0"/>
          <w:sz w:val="24"/>
          <w:szCs w:val="24"/>
          <w:u w:val="none"/>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Style w:val="18"/>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Style w:val="18"/>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的中国境内生产的组件成本占比≥</w:t>
      </w:r>
      <w:r>
        <w:rPr>
          <w:rStyle w:val="18"/>
          <w:rFonts w:hint="eastAsia" w:ascii="宋体" w:hAnsi="宋体" w:eastAsia="宋体" w:cs="宋体"/>
          <w:i w:val="0"/>
          <w:iCs w:val="0"/>
          <w:caps w:val="0"/>
          <w:color w:val="333333"/>
          <w:spacing w:val="0"/>
          <w:sz w:val="24"/>
          <w:szCs w:val="24"/>
          <w:u w:val="single"/>
          <w:shd w:val="clear" w:fill="FFFFFF"/>
        </w:rPr>
        <w:t>（规定比例）</w:t>
      </w:r>
      <w:r>
        <w:rPr>
          <w:rStyle w:val="18"/>
          <w:rFonts w:hint="eastAsia" w:ascii="宋体" w:hAnsi="宋体" w:eastAsia="宋体" w:cs="宋体"/>
          <w:i w:val="0"/>
          <w:iCs w:val="0"/>
          <w:caps w:val="0"/>
          <w:color w:val="333333"/>
          <w:spacing w:val="0"/>
          <w:sz w:val="24"/>
          <w:szCs w:val="24"/>
          <w:u w:val="none"/>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Style w:val="18"/>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Style w:val="18"/>
          <w:rFonts w:hint="eastAsia" w:ascii="宋体" w:hAnsi="宋体" w:eastAsia="宋体" w:cs="宋体"/>
          <w:i w:val="0"/>
          <w:iCs w:val="0"/>
          <w:caps w:val="0"/>
          <w:color w:val="333333"/>
          <w:spacing w:val="0"/>
          <w:sz w:val="24"/>
          <w:szCs w:val="24"/>
          <w:u w:val="single"/>
          <w:shd w:val="clear" w:fill="FFFFFF"/>
        </w:rPr>
        <w:t>（关键组件）</w:t>
      </w:r>
      <w:r>
        <w:rPr>
          <w:rStyle w:val="18"/>
          <w:rFonts w:hint="eastAsia" w:ascii="宋体" w:hAnsi="宋体" w:eastAsia="宋体" w:cs="宋体"/>
          <w:i w:val="0"/>
          <w:iCs w:val="0"/>
          <w:caps w:val="0"/>
          <w:color w:val="333333"/>
          <w:spacing w:val="0"/>
          <w:sz w:val="24"/>
          <w:szCs w:val="24"/>
          <w:u w:val="none"/>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Style w:val="18"/>
          <w:rFonts w:hint="eastAsia" w:ascii="宋体" w:hAnsi="宋体" w:eastAsia="宋体" w:cs="宋体"/>
          <w:i w:val="0"/>
          <w:iCs w:val="0"/>
          <w:caps w:val="0"/>
          <w:color w:val="333333"/>
          <w:spacing w:val="0"/>
          <w:sz w:val="24"/>
          <w:szCs w:val="24"/>
          <w:u w:val="single"/>
          <w:shd w:val="clear" w:fill="FFFFFF"/>
        </w:rPr>
        <w:t>（产品名称1）</w:t>
      </w:r>
      <w:r>
        <w:rPr>
          <w:rFonts w:hint="eastAsia" w:ascii="宋体" w:hAnsi="宋体" w:eastAsia="宋体" w:cs="宋体"/>
          <w:i w:val="0"/>
          <w:iCs w:val="0"/>
          <w:caps w:val="0"/>
          <w:color w:val="333333"/>
          <w:spacing w:val="0"/>
          <w:sz w:val="24"/>
          <w:szCs w:val="24"/>
          <w:shd w:val="clear" w:fill="FFFFFF"/>
        </w:rPr>
        <w:t>的</w:t>
      </w:r>
      <w:r>
        <w:rPr>
          <w:rStyle w:val="18"/>
          <w:rFonts w:hint="eastAsia" w:ascii="宋体" w:hAnsi="宋体" w:eastAsia="宋体" w:cs="宋体"/>
          <w:i w:val="0"/>
          <w:iCs w:val="0"/>
          <w:caps w:val="0"/>
          <w:color w:val="333333"/>
          <w:spacing w:val="0"/>
          <w:sz w:val="24"/>
          <w:szCs w:val="24"/>
          <w:u w:val="single"/>
          <w:shd w:val="clear" w:fill="FFFFFF"/>
        </w:rPr>
        <w:t>（关键工序）</w:t>
      </w:r>
      <w:r>
        <w:rPr>
          <w:rStyle w:val="18"/>
          <w:rFonts w:hint="eastAsia" w:ascii="宋体" w:hAnsi="宋体" w:eastAsia="宋体" w:cs="宋体"/>
          <w:i w:val="0"/>
          <w:iCs w:val="0"/>
          <w:caps w:val="0"/>
          <w:color w:val="333333"/>
          <w:spacing w:val="0"/>
          <w:sz w:val="24"/>
          <w:szCs w:val="24"/>
          <w:u w:val="none"/>
          <w:shd w:val="clear" w:fill="FFFFFF"/>
          <w:vertAlign w:val="superscript"/>
        </w:rPr>
        <w:t>5</w:t>
      </w:r>
      <w:r>
        <w:rPr>
          <w:rFonts w:hint="eastAsia" w:ascii="宋体" w:hAnsi="宋体" w:eastAsia="宋体" w:cs="宋体"/>
          <w:i w:val="0"/>
          <w:iCs w:val="0"/>
          <w:caps w:val="0"/>
          <w:color w:val="333333"/>
          <w:spacing w:val="0"/>
          <w:sz w:val="24"/>
          <w:szCs w:val="24"/>
          <w:shd w:val="clear" w:fill="FFFFFF"/>
        </w:rPr>
        <w:t>在中国境内完成。</w:t>
      </w:r>
    </w:p>
    <w:p w14:paraId="0620638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Style w:val="18"/>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，生产厂为</w:t>
      </w:r>
      <w:r>
        <w:rPr>
          <w:rStyle w:val="18"/>
          <w:rFonts w:hint="eastAsia" w:ascii="宋体" w:hAnsi="宋体" w:eastAsia="宋体" w:cs="宋体"/>
          <w:i w:val="0"/>
          <w:iCs w:val="0"/>
          <w:caps w:val="0"/>
          <w:color w:val="333333"/>
          <w:spacing w:val="0"/>
          <w:sz w:val="24"/>
          <w:szCs w:val="24"/>
          <w:u w:val="single"/>
          <w:shd w:val="clear" w:fill="FFFFFF"/>
        </w:rPr>
        <w:t>（厂名）</w:t>
      </w:r>
      <w:r>
        <w:rPr>
          <w:rFonts w:hint="eastAsia" w:ascii="宋体" w:hAnsi="宋体" w:eastAsia="宋体" w:cs="宋体"/>
          <w:i w:val="0"/>
          <w:iCs w:val="0"/>
          <w:caps w:val="0"/>
          <w:color w:val="333333"/>
          <w:spacing w:val="0"/>
          <w:sz w:val="24"/>
          <w:szCs w:val="24"/>
          <w:shd w:val="clear" w:fill="FFFFFF"/>
        </w:rPr>
        <w:t>，厂址为</w:t>
      </w:r>
      <w:r>
        <w:rPr>
          <w:rStyle w:val="18"/>
          <w:rFonts w:hint="eastAsia" w:ascii="宋体" w:hAnsi="宋体" w:eastAsia="宋体" w:cs="宋体"/>
          <w:i w:val="0"/>
          <w:iCs w:val="0"/>
          <w:caps w:val="0"/>
          <w:color w:val="333333"/>
          <w:spacing w:val="0"/>
          <w:sz w:val="24"/>
          <w:szCs w:val="24"/>
          <w:u w:val="single"/>
          <w:shd w:val="clear" w:fill="FFFFFF"/>
        </w:rPr>
        <w:t>（生产厂址）</w:t>
      </w:r>
      <w:r>
        <w:rPr>
          <w:rFonts w:hint="eastAsia" w:ascii="宋体" w:hAnsi="宋体" w:eastAsia="宋体" w:cs="宋体"/>
          <w:i w:val="0"/>
          <w:iCs w:val="0"/>
          <w:caps w:val="0"/>
          <w:color w:val="333333"/>
          <w:spacing w:val="0"/>
          <w:sz w:val="24"/>
          <w:szCs w:val="24"/>
          <w:shd w:val="clear" w:fill="FFFFFF"/>
        </w:rPr>
        <w:t>。</w:t>
      </w:r>
      <w:r>
        <w:rPr>
          <w:rStyle w:val="18"/>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的中国境内生产的组件成本占比≥</w:t>
      </w:r>
      <w:r>
        <w:rPr>
          <w:rStyle w:val="18"/>
          <w:rFonts w:hint="eastAsia" w:ascii="宋体" w:hAnsi="宋体" w:eastAsia="宋体" w:cs="宋体"/>
          <w:i w:val="0"/>
          <w:iCs w:val="0"/>
          <w:caps w:val="0"/>
          <w:color w:val="333333"/>
          <w:spacing w:val="0"/>
          <w:sz w:val="24"/>
          <w:szCs w:val="24"/>
          <w:u w:val="single"/>
          <w:shd w:val="clear" w:fill="FFFFFF"/>
        </w:rPr>
        <w:t>（规定比例）</w:t>
      </w:r>
      <w:r>
        <w:rPr>
          <w:rFonts w:hint="eastAsia" w:ascii="宋体" w:hAnsi="宋体" w:eastAsia="宋体" w:cs="宋体"/>
          <w:i w:val="0"/>
          <w:iCs w:val="0"/>
          <w:caps w:val="0"/>
          <w:color w:val="333333"/>
          <w:spacing w:val="0"/>
          <w:sz w:val="24"/>
          <w:szCs w:val="24"/>
          <w:shd w:val="clear" w:fill="FFFFFF"/>
        </w:rPr>
        <w:t>。</w:t>
      </w:r>
      <w:r>
        <w:rPr>
          <w:rStyle w:val="18"/>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的</w:t>
      </w:r>
      <w:r>
        <w:rPr>
          <w:rStyle w:val="18"/>
          <w:rFonts w:hint="eastAsia" w:ascii="宋体" w:hAnsi="宋体" w:eastAsia="宋体" w:cs="宋体"/>
          <w:i w:val="0"/>
          <w:iCs w:val="0"/>
          <w:caps w:val="0"/>
          <w:color w:val="333333"/>
          <w:spacing w:val="0"/>
          <w:sz w:val="24"/>
          <w:szCs w:val="24"/>
          <w:u w:val="single"/>
          <w:shd w:val="clear" w:fill="FFFFFF"/>
        </w:rPr>
        <w:t>（关键组件）</w:t>
      </w:r>
      <w:r>
        <w:rPr>
          <w:rFonts w:hint="eastAsia" w:ascii="宋体" w:hAnsi="宋体" w:eastAsia="宋体" w:cs="宋体"/>
          <w:i w:val="0"/>
          <w:iCs w:val="0"/>
          <w:caps w:val="0"/>
          <w:color w:val="333333"/>
          <w:spacing w:val="0"/>
          <w:sz w:val="24"/>
          <w:szCs w:val="24"/>
          <w:shd w:val="clear" w:fill="FFFFFF"/>
        </w:rPr>
        <w:t>在中国境内生产。</w:t>
      </w:r>
      <w:r>
        <w:rPr>
          <w:rStyle w:val="18"/>
          <w:rFonts w:hint="eastAsia" w:ascii="宋体" w:hAnsi="宋体" w:eastAsia="宋体" w:cs="宋体"/>
          <w:i w:val="0"/>
          <w:iCs w:val="0"/>
          <w:caps w:val="0"/>
          <w:color w:val="333333"/>
          <w:spacing w:val="0"/>
          <w:sz w:val="24"/>
          <w:szCs w:val="24"/>
          <w:u w:val="single"/>
          <w:shd w:val="clear" w:fill="FFFFFF"/>
        </w:rPr>
        <w:t>（产品名称2）</w:t>
      </w:r>
      <w:r>
        <w:rPr>
          <w:rFonts w:hint="eastAsia" w:ascii="宋体" w:hAnsi="宋体" w:eastAsia="宋体" w:cs="宋体"/>
          <w:i w:val="0"/>
          <w:iCs w:val="0"/>
          <w:caps w:val="0"/>
          <w:color w:val="333333"/>
          <w:spacing w:val="0"/>
          <w:sz w:val="24"/>
          <w:szCs w:val="24"/>
          <w:shd w:val="clear" w:fill="FFFFFF"/>
        </w:rPr>
        <w:t>的</w:t>
      </w:r>
      <w:r>
        <w:rPr>
          <w:rStyle w:val="18"/>
          <w:rFonts w:hint="eastAsia" w:ascii="宋体" w:hAnsi="宋体" w:eastAsia="宋体" w:cs="宋体"/>
          <w:i w:val="0"/>
          <w:iCs w:val="0"/>
          <w:caps w:val="0"/>
          <w:color w:val="333333"/>
          <w:spacing w:val="0"/>
          <w:sz w:val="24"/>
          <w:szCs w:val="24"/>
          <w:u w:val="single"/>
          <w:shd w:val="clear" w:fill="FFFFFF"/>
        </w:rPr>
        <w:t>（关键工序）</w:t>
      </w:r>
      <w:r>
        <w:rPr>
          <w:rFonts w:hint="eastAsia" w:ascii="宋体" w:hAnsi="宋体" w:eastAsia="宋体" w:cs="宋体"/>
          <w:i w:val="0"/>
          <w:iCs w:val="0"/>
          <w:caps w:val="0"/>
          <w:color w:val="333333"/>
          <w:spacing w:val="0"/>
          <w:sz w:val="24"/>
          <w:szCs w:val="24"/>
          <w:shd w:val="clear" w:fill="FFFFFF"/>
        </w:rPr>
        <w:t>在中国境内完成。</w:t>
      </w:r>
    </w:p>
    <w:p w14:paraId="39A77A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p>
    <w:p w14:paraId="1A25FA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本公司（单位）对上述声明内容的真实性负责。如有虚假，愿承担相应法律责任。</w:t>
      </w:r>
    </w:p>
    <w:p w14:paraId="5485D2E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333333"/>
          <w:spacing w:val="0"/>
          <w:sz w:val="24"/>
          <w:szCs w:val="24"/>
        </w:rPr>
      </w:pPr>
    </w:p>
    <w:p w14:paraId="51CB7F1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公司（单位）名称（盖章）：　        </w:t>
      </w:r>
    </w:p>
    <w:p w14:paraId="7DCB869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日期：　  年　  月　  日         </w:t>
      </w:r>
    </w:p>
    <w:p w14:paraId="14DB52F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__________________</w:t>
      </w:r>
    </w:p>
    <w:p w14:paraId="3CB9C7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1.产品如有型号，请在“产品名称”栏一并填写。</w:t>
      </w:r>
    </w:p>
    <w:p w14:paraId="2AD5A2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2.生产厂名与厂址应与生产厂营业执照载明的相关信息保持一致。</w:t>
      </w:r>
    </w:p>
    <w:p w14:paraId="3A0E39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3.该产品的中国境内生产的组件成本占比相关要求实施前，“规定比例”栏可不填，下同。</w:t>
      </w:r>
    </w:p>
    <w:p w14:paraId="31E5AF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4.该产品的关键组件要求实施前，“关键组件”栏可不填，下同。</w:t>
      </w:r>
    </w:p>
    <w:p w14:paraId="28C0CE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5.该产品的关键工序要求实施前，“关键工序”栏可不填，下同。</w:t>
      </w:r>
    </w:p>
    <w:p w14:paraId="78AA0C69">
      <w:pPr>
        <w:rPr>
          <w:rFonts w:hint="eastAsia" w:ascii="宋体" w:hAnsi="宋体" w:eastAsia="宋体" w:cs="宋体"/>
          <w:sz w:val="24"/>
          <w:szCs w:val="24"/>
        </w:rPr>
      </w:pPr>
      <w:r>
        <w:rPr>
          <w:rFonts w:hint="eastAsia" w:ascii="宋体" w:hAnsi="宋体" w:eastAsia="宋体" w:cs="宋体"/>
          <w:sz w:val="24"/>
          <w:szCs w:val="24"/>
        </w:rPr>
        <w:br w:type="page"/>
      </w:r>
    </w:p>
    <w:p w14:paraId="310D9B0D">
      <w:pPr>
        <w:pStyle w:val="2"/>
        <w:keepNext w:val="0"/>
        <w:keepLines w:val="0"/>
        <w:pageBreakBefore w:val="0"/>
        <w:widowControl/>
        <w:kinsoku w:val="0"/>
        <w:wordWrap/>
        <w:overflowPunct/>
        <w:topLinePunct w:val="0"/>
        <w:autoSpaceDE w:val="0"/>
        <w:autoSpaceDN w:val="0"/>
        <w:bidi w:val="0"/>
        <w:adjustRightInd w:val="0"/>
        <w:snapToGrid w:val="0"/>
        <w:spacing w:before="273" w:line="202" w:lineRule="auto"/>
        <w:ind w:left="28"/>
        <w:textAlignment w:val="baseline"/>
        <w:outlineLvl w:val="2"/>
        <w:rPr>
          <w:rFonts w:hint="eastAsia" w:ascii="宋体" w:hAnsi="宋体" w:eastAsia="宋体" w:cs="宋体"/>
          <w:sz w:val="24"/>
          <w:szCs w:val="24"/>
          <w:lang w:val="en-US" w:eastAsia="zh-CN"/>
        </w:rPr>
      </w:pPr>
      <w:bookmarkStart w:id="162" w:name="_Toc17896"/>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招标文件要求提供或投标人认为应附的其他</w:t>
      </w:r>
      <w:r>
        <w:rPr>
          <w:rFonts w:hint="eastAsia" w:ascii="宋体" w:hAnsi="宋体" w:eastAsia="宋体" w:cs="宋体"/>
          <w:sz w:val="24"/>
          <w:szCs w:val="24"/>
          <w:lang w:val="en-US" w:eastAsia="zh-CN"/>
        </w:rPr>
        <w:t>材料</w:t>
      </w:r>
      <w:bookmarkEnd w:id="162"/>
    </w:p>
    <w:p w14:paraId="1C535C70">
      <w:pPr>
        <w:bidi w:val="0"/>
        <w:rPr>
          <w:rFonts w:hint="eastAsia"/>
          <w:lang w:val="en-US" w:eastAsia="zh-CN"/>
        </w:rPr>
      </w:pPr>
    </w:p>
    <w:sectPr>
      <w:headerReference r:id="rId40" w:type="default"/>
      <w:footerReference r:id="rId41" w:type="default"/>
      <w:pgSz w:w="11905" w:h="16838"/>
      <w:pgMar w:top="1361" w:right="1417" w:bottom="1247" w:left="1417" w:header="839" w:footer="884"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1A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0168E">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40168E">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C295">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146E4">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6A146E4">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25CC6">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1600C">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261600C">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E4F71">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8905">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1C8905">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7879">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9DEE7">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F69DEE7">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C67C">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16A22">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3416A22">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4886C">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68F5B">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8F68F5B">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5F22">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45E09">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D45E09">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F6CC">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99E06">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A099E06">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7111E">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FF1E4">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D4FF1E4">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4D691">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E27C3">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FDE27C3">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739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6C7A5">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B6C7A5">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FEF12">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BE7B7">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28BE7B7">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216B7">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2B08A">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572B08A">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AB4D">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966A1">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DC966A1">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801A">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6072F">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146072F">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6291">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E2853">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1E2853">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31FE5">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F3F6E">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7F3F6E">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04C59">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D592E">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AD592E">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A823">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C6593">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C6593">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56825">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EB519">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6EB519">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AECBF">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8440B">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218440B">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D9CDC">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A6806">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F6A6806">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A69E1">
    <w:pPr>
      <w:pStyle w:val="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5C10B">
    <w:pPr>
      <w:pStyle w:val="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4C948">
    <w:pPr>
      <w:pStyle w:val="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BCA6">
    <w:pPr>
      <w:pStyle w:val="9"/>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1CB2D">
    <w:pPr>
      <w:pStyle w:val="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644D0">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560A0">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0E945">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4CC9">
    <w:pPr>
      <w:pStyle w:val="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595F">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FB00D">
    <w:pPr>
      <w:pStyle w:val="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897C">
    <w:pPr>
      <w:pStyle w:val="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D084">
    <w:pPr>
      <w:pStyle w:val="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22DF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40A39"/>
    <w:rsid w:val="00C528D4"/>
    <w:rsid w:val="00C92C7F"/>
    <w:rsid w:val="00E03B97"/>
    <w:rsid w:val="01C96489"/>
    <w:rsid w:val="021A27AB"/>
    <w:rsid w:val="029F0F02"/>
    <w:rsid w:val="03283105"/>
    <w:rsid w:val="033E5141"/>
    <w:rsid w:val="041476CE"/>
    <w:rsid w:val="049A0293"/>
    <w:rsid w:val="0574471F"/>
    <w:rsid w:val="063C4254"/>
    <w:rsid w:val="068877A3"/>
    <w:rsid w:val="06FA1FDB"/>
    <w:rsid w:val="07497668"/>
    <w:rsid w:val="07F6658C"/>
    <w:rsid w:val="08F74CC7"/>
    <w:rsid w:val="096D77C8"/>
    <w:rsid w:val="097E0DBB"/>
    <w:rsid w:val="09F064E7"/>
    <w:rsid w:val="0A0124A3"/>
    <w:rsid w:val="0ACB0B09"/>
    <w:rsid w:val="0AE243B2"/>
    <w:rsid w:val="0BC96FF0"/>
    <w:rsid w:val="0C61547A"/>
    <w:rsid w:val="0C6B0C4B"/>
    <w:rsid w:val="0C960B20"/>
    <w:rsid w:val="0CC33EBE"/>
    <w:rsid w:val="0CE91DBB"/>
    <w:rsid w:val="0EC4372C"/>
    <w:rsid w:val="0F4848DC"/>
    <w:rsid w:val="0F96368D"/>
    <w:rsid w:val="1136016F"/>
    <w:rsid w:val="11E86C12"/>
    <w:rsid w:val="11FA7F03"/>
    <w:rsid w:val="141379A2"/>
    <w:rsid w:val="14EE710C"/>
    <w:rsid w:val="165322D8"/>
    <w:rsid w:val="16640041"/>
    <w:rsid w:val="16C544F0"/>
    <w:rsid w:val="17361F7F"/>
    <w:rsid w:val="17760DCA"/>
    <w:rsid w:val="17B44FF8"/>
    <w:rsid w:val="191B7AAA"/>
    <w:rsid w:val="196B281A"/>
    <w:rsid w:val="197B401F"/>
    <w:rsid w:val="19C076D7"/>
    <w:rsid w:val="19F3005A"/>
    <w:rsid w:val="1A8878F4"/>
    <w:rsid w:val="1AEA096C"/>
    <w:rsid w:val="1B5D2AED"/>
    <w:rsid w:val="1F141FC7"/>
    <w:rsid w:val="1F631786"/>
    <w:rsid w:val="2090294C"/>
    <w:rsid w:val="20AA51EA"/>
    <w:rsid w:val="21086D2E"/>
    <w:rsid w:val="2127683B"/>
    <w:rsid w:val="21457447"/>
    <w:rsid w:val="22302644"/>
    <w:rsid w:val="22E82F78"/>
    <w:rsid w:val="22FB130C"/>
    <w:rsid w:val="23B039DF"/>
    <w:rsid w:val="24CC572F"/>
    <w:rsid w:val="24D046C0"/>
    <w:rsid w:val="24DB1E16"/>
    <w:rsid w:val="24DF534D"/>
    <w:rsid w:val="24E03C1F"/>
    <w:rsid w:val="25ED4537"/>
    <w:rsid w:val="260A1B70"/>
    <w:rsid w:val="265C2AE3"/>
    <w:rsid w:val="26AB68A0"/>
    <w:rsid w:val="27983FEE"/>
    <w:rsid w:val="27A15689"/>
    <w:rsid w:val="27E91F4D"/>
    <w:rsid w:val="286A7187"/>
    <w:rsid w:val="28C45789"/>
    <w:rsid w:val="2A6E7969"/>
    <w:rsid w:val="2ADC0E6C"/>
    <w:rsid w:val="2C29790B"/>
    <w:rsid w:val="2C7A1F15"/>
    <w:rsid w:val="2C911451"/>
    <w:rsid w:val="2CB67C7C"/>
    <w:rsid w:val="2D2C32D2"/>
    <w:rsid w:val="2DAC07F4"/>
    <w:rsid w:val="2DCA2A28"/>
    <w:rsid w:val="2DF635E5"/>
    <w:rsid w:val="2E2C083D"/>
    <w:rsid w:val="2E4317D6"/>
    <w:rsid w:val="2E782762"/>
    <w:rsid w:val="2F102FBA"/>
    <w:rsid w:val="303B447E"/>
    <w:rsid w:val="306927ED"/>
    <w:rsid w:val="30783F2B"/>
    <w:rsid w:val="30A138D2"/>
    <w:rsid w:val="30C3462B"/>
    <w:rsid w:val="30C776F3"/>
    <w:rsid w:val="30F40186"/>
    <w:rsid w:val="31F1352C"/>
    <w:rsid w:val="31FB7654"/>
    <w:rsid w:val="32160058"/>
    <w:rsid w:val="32351DC9"/>
    <w:rsid w:val="33492641"/>
    <w:rsid w:val="33A745AD"/>
    <w:rsid w:val="3427596C"/>
    <w:rsid w:val="34282FB3"/>
    <w:rsid w:val="35172322"/>
    <w:rsid w:val="36A00722"/>
    <w:rsid w:val="37535B93"/>
    <w:rsid w:val="388F766F"/>
    <w:rsid w:val="389035F4"/>
    <w:rsid w:val="3A0B357E"/>
    <w:rsid w:val="3A1E7DED"/>
    <w:rsid w:val="3AF61BB0"/>
    <w:rsid w:val="3BF4733B"/>
    <w:rsid w:val="3C63679D"/>
    <w:rsid w:val="3ECC294C"/>
    <w:rsid w:val="3F604E8A"/>
    <w:rsid w:val="3FC34ECC"/>
    <w:rsid w:val="3FC65745"/>
    <w:rsid w:val="3FD223B0"/>
    <w:rsid w:val="4037219F"/>
    <w:rsid w:val="4148218A"/>
    <w:rsid w:val="41CB255B"/>
    <w:rsid w:val="41DE284D"/>
    <w:rsid w:val="427E5F3E"/>
    <w:rsid w:val="427F69ED"/>
    <w:rsid w:val="42E47C90"/>
    <w:rsid w:val="431D5002"/>
    <w:rsid w:val="43DD7542"/>
    <w:rsid w:val="44213794"/>
    <w:rsid w:val="44931781"/>
    <w:rsid w:val="44D75CFE"/>
    <w:rsid w:val="45DF1FFF"/>
    <w:rsid w:val="47FB309E"/>
    <w:rsid w:val="4872418A"/>
    <w:rsid w:val="48CC544E"/>
    <w:rsid w:val="4A062BE2"/>
    <w:rsid w:val="4AF71E6D"/>
    <w:rsid w:val="4B845533"/>
    <w:rsid w:val="4BEF4C0F"/>
    <w:rsid w:val="4D215624"/>
    <w:rsid w:val="4DAE7818"/>
    <w:rsid w:val="4EF75204"/>
    <w:rsid w:val="4FBF7ABB"/>
    <w:rsid w:val="4FF5172F"/>
    <w:rsid w:val="50A6410D"/>
    <w:rsid w:val="50CC6D33"/>
    <w:rsid w:val="52A01EF0"/>
    <w:rsid w:val="53387573"/>
    <w:rsid w:val="53794425"/>
    <w:rsid w:val="53B042EA"/>
    <w:rsid w:val="53BD335C"/>
    <w:rsid w:val="53BD6A07"/>
    <w:rsid w:val="54261E03"/>
    <w:rsid w:val="546D58F6"/>
    <w:rsid w:val="557579E8"/>
    <w:rsid w:val="566C7AB9"/>
    <w:rsid w:val="56FE6576"/>
    <w:rsid w:val="57217E5C"/>
    <w:rsid w:val="5752040D"/>
    <w:rsid w:val="58F22CAF"/>
    <w:rsid w:val="59C04BC8"/>
    <w:rsid w:val="5A901AAA"/>
    <w:rsid w:val="5B98227D"/>
    <w:rsid w:val="5BBB6582"/>
    <w:rsid w:val="5C501160"/>
    <w:rsid w:val="5C7610C7"/>
    <w:rsid w:val="5D62274A"/>
    <w:rsid w:val="5EC96F2A"/>
    <w:rsid w:val="601259E5"/>
    <w:rsid w:val="6051650D"/>
    <w:rsid w:val="60A80FD0"/>
    <w:rsid w:val="60B760A6"/>
    <w:rsid w:val="61112140"/>
    <w:rsid w:val="632F68AE"/>
    <w:rsid w:val="63536CA0"/>
    <w:rsid w:val="63AC577F"/>
    <w:rsid w:val="65090271"/>
    <w:rsid w:val="66153749"/>
    <w:rsid w:val="6706395B"/>
    <w:rsid w:val="67D77C40"/>
    <w:rsid w:val="680653B7"/>
    <w:rsid w:val="682664D1"/>
    <w:rsid w:val="686F716C"/>
    <w:rsid w:val="68B26F25"/>
    <w:rsid w:val="68C85A4D"/>
    <w:rsid w:val="69076303"/>
    <w:rsid w:val="692F6CC9"/>
    <w:rsid w:val="69BA5E6D"/>
    <w:rsid w:val="6A2B0DB4"/>
    <w:rsid w:val="6ABF49BB"/>
    <w:rsid w:val="6B2931F4"/>
    <w:rsid w:val="6B642A5C"/>
    <w:rsid w:val="6C535443"/>
    <w:rsid w:val="6C7671E2"/>
    <w:rsid w:val="6D803E6F"/>
    <w:rsid w:val="6DE457F5"/>
    <w:rsid w:val="6E093138"/>
    <w:rsid w:val="6F471FB1"/>
    <w:rsid w:val="70F039C9"/>
    <w:rsid w:val="71180823"/>
    <w:rsid w:val="71771B4C"/>
    <w:rsid w:val="71AC62DD"/>
    <w:rsid w:val="72807126"/>
    <w:rsid w:val="73221F8B"/>
    <w:rsid w:val="73836ECE"/>
    <w:rsid w:val="73B25352"/>
    <w:rsid w:val="74742711"/>
    <w:rsid w:val="7547728E"/>
    <w:rsid w:val="763023D4"/>
    <w:rsid w:val="764F753B"/>
    <w:rsid w:val="769D4A3B"/>
    <w:rsid w:val="77272BFD"/>
    <w:rsid w:val="77274014"/>
    <w:rsid w:val="77792048"/>
    <w:rsid w:val="787B63C5"/>
    <w:rsid w:val="78E24696"/>
    <w:rsid w:val="792545B6"/>
    <w:rsid w:val="7B66335D"/>
    <w:rsid w:val="7BAE0860"/>
    <w:rsid w:val="7C657A35"/>
    <w:rsid w:val="7C927620"/>
    <w:rsid w:val="7CD418CC"/>
    <w:rsid w:val="7D160888"/>
    <w:rsid w:val="7D9164BD"/>
    <w:rsid w:val="7E437638"/>
    <w:rsid w:val="7EB10D93"/>
    <w:rsid w:val="7F7F5C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31"/>
      <w:szCs w:val="31"/>
      <w:lang w:val="en-US" w:eastAsia="en-US" w:bidi="ar-SA"/>
    </w:rPr>
  </w:style>
  <w:style w:type="paragraph" w:styleId="3">
    <w:name w:val="Body Text 2"/>
    <w:next w:val="2"/>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4">
    <w:name w:val="Normal Indent"/>
    <w:qFormat/>
    <w:uiPriority w:val="0"/>
    <w:pPr>
      <w:widowControl w:val="0"/>
      <w:autoSpaceDE w:val="0"/>
      <w:autoSpaceDN w:val="0"/>
      <w:adjustRightInd w:val="0"/>
      <w:ind w:firstLine="420"/>
      <w:jc w:val="left"/>
    </w:pPr>
    <w:rPr>
      <w:rFonts w:ascii="宋体" w:hAnsi="Times New Roman" w:eastAsia="宋体" w:cs="Times New Roman"/>
      <w:kern w:val="0"/>
      <w:sz w:val="24"/>
      <w:szCs w:val="20"/>
      <w:lang w:val="en-US" w:eastAsia="zh-CN" w:bidi="ar-SA"/>
    </w:rPr>
  </w:style>
  <w:style w:type="paragraph" w:styleId="5">
    <w:name w:val="Body Text Indent"/>
    <w:next w:val="1"/>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6">
    <w:name w:val="toc 3"/>
    <w:basedOn w:val="1"/>
    <w:next w:val="1"/>
    <w:qFormat/>
    <w:uiPriority w:val="0"/>
    <w:pPr>
      <w:ind w:left="840" w:leftChars="400"/>
    </w:pPr>
  </w:style>
  <w:style w:type="paragraph" w:styleId="7">
    <w:name w:val="Plain Text"/>
    <w:basedOn w:val="1"/>
    <w:qFormat/>
    <w:uiPriority w:val="0"/>
    <w:pPr>
      <w:widowControl w:val="0"/>
      <w:jc w:val="both"/>
    </w:pPr>
    <w:rPr>
      <w:rFonts w:hint="eastAsia" w:ascii="宋体" w:hAnsi="宋体" w:eastAsia="宋体" w:cs="Times New Roman"/>
      <w:kern w:val="2"/>
      <w:sz w:val="21"/>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next w:val="1"/>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paragraph" w:customStyle="1" w:styleId="19">
    <w:name w:val="Heading4"/>
    <w:basedOn w:val="1"/>
    <w:next w:val="1"/>
    <w:autoRedefine/>
    <w:qFormat/>
    <w:uiPriority w:val="0"/>
    <w:pPr>
      <w:keepNext/>
      <w:keepLines/>
      <w:spacing w:before="280" w:after="290" w:line="376" w:lineRule="auto"/>
      <w:textAlignment w:val="baseline"/>
    </w:pPr>
    <w:rPr>
      <w:rFonts w:ascii="Arial" w:hAnsi="Arial" w:eastAsia="黑体" w:cs="Times New Roman"/>
      <w:b/>
      <w:bCs/>
      <w:sz w:val="28"/>
      <w:szCs w:val="28"/>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23.xml"/><Relationship Id="rId40" Type="http://schemas.openxmlformats.org/officeDocument/2006/relationships/header" Target="header14.xml"/><Relationship Id="rId4" Type="http://schemas.openxmlformats.org/officeDocument/2006/relationships/endnotes" Target="endnotes.xml"/><Relationship Id="rId39" Type="http://schemas.openxmlformats.org/officeDocument/2006/relationships/footer" Target="footer22.xml"/><Relationship Id="rId38" Type="http://schemas.openxmlformats.org/officeDocument/2006/relationships/header" Target="header13.xml"/><Relationship Id="rId37" Type="http://schemas.openxmlformats.org/officeDocument/2006/relationships/footer" Target="footer21.xml"/><Relationship Id="rId36" Type="http://schemas.openxmlformats.org/officeDocument/2006/relationships/header" Target="header12.xml"/><Relationship Id="rId35" Type="http://schemas.openxmlformats.org/officeDocument/2006/relationships/footer" Target="footer20.xml"/><Relationship Id="rId34" Type="http://schemas.openxmlformats.org/officeDocument/2006/relationships/footer" Target="footer19.xml"/><Relationship Id="rId33" Type="http://schemas.openxmlformats.org/officeDocument/2006/relationships/header" Target="header11.xml"/><Relationship Id="rId32" Type="http://schemas.openxmlformats.org/officeDocument/2006/relationships/footer" Target="footer18.xml"/><Relationship Id="rId31" Type="http://schemas.openxmlformats.org/officeDocument/2006/relationships/header" Target="header10.xml"/><Relationship Id="rId30" Type="http://schemas.openxmlformats.org/officeDocument/2006/relationships/footer" Target="footer17.xml"/><Relationship Id="rId3" Type="http://schemas.openxmlformats.org/officeDocument/2006/relationships/footnotes" Target="footnotes.xml"/><Relationship Id="rId29" Type="http://schemas.openxmlformats.org/officeDocument/2006/relationships/header" Target="header9.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2694</Words>
  <Characters>2948</Characters>
  <TotalTime>68</TotalTime>
  <ScaleCrop>false</ScaleCrop>
  <LinksUpToDate>false</LinksUpToDate>
  <CharactersWithSpaces>3108</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2024-11-28T11:25:00Z</dcterms:created>
  <dc:creator>Yin Hao</dc:creator>
  <cp:lastModifiedBy>HG</cp:lastModifiedBy>
  <cp:lastPrinted>2026-05-18T00:29:00Z</cp:lastPrinted>
  <dcterms:modified xsi:type="dcterms:W3CDTF">2026-06-23T09:53:08Z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2026-03-24T19:01:04Z</vt:filetime>
  </property>
  <property fmtid="{D5CDD505-2E9C-101B-9397-08002B2CF9AE}" pid="4" name="KSOTemplateDocerSaveRecord">
    <vt:lpwstr>eyJoZGlkIjoiNDU5YzhhYTQwNDA4NDFkMzI2ZjYwMzU1ZDcxNTM5YmEiLCJ1c2VySWQiOiIzODc3MzUzMTAifQ==</vt:lpwstr>
  </property>
  <property fmtid="{D5CDD505-2E9C-101B-9397-08002B2CF9AE}" pid="5" name="KSOProductBuildVer">
    <vt:lpwstr>2052-12.1.0.26895</vt:lpwstr>
  </property>
  <property fmtid="{D5CDD505-2E9C-101B-9397-08002B2CF9AE}" pid="6" name="ICV">
    <vt:lpwstr>64A3B7D34619414AB1D08CE5A65C1E2B_13</vt:lpwstr>
  </property>
</Properties>
</file>