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E6856">
      <w:pPr>
        <w:tabs>
          <w:tab w:val="left" w:pos="420"/>
        </w:tabs>
        <w:spacing w:line="1700" w:lineRule="exact"/>
        <w:jc w:val="center"/>
        <w:rPr>
          <w:rFonts w:hint="eastAsia" w:ascii="宋体" w:hAnsi="宋体" w:cs="宋体"/>
          <w:b/>
          <w:color w:val="auto"/>
          <w:spacing w:val="36"/>
          <w:sz w:val="72"/>
          <w:szCs w:val="72"/>
          <w:highlight w:val="none"/>
        </w:rPr>
      </w:pPr>
      <w:r>
        <w:rPr>
          <w:rFonts w:hint="eastAsia" w:ascii="宋体" w:hAnsi="宋体" w:cs="宋体"/>
          <w:b/>
          <w:bCs/>
          <w:color w:val="auto"/>
          <w:kern w:val="0"/>
          <w:sz w:val="72"/>
          <w:szCs w:val="72"/>
          <w:highlight w:val="none"/>
        </w:rPr>
        <w:t>周口市公共资源交易中心</w:t>
      </w:r>
    </w:p>
    <w:p w14:paraId="49256F5A">
      <w:pPr>
        <w:tabs>
          <w:tab w:val="left" w:pos="315"/>
          <w:tab w:val="left" w:pos="8820"/>
        </w:tabs>
        <w:spacing w:line="600" w:lineRule="exact"/>
        <w:ind w:right="267" w:rightChars="127"/>
        <w:jc w:val="center"/>
        <w:rPr>
          <w:rFonts w:hint="eastAsia" w:ascii="宋体" w:hAnsi="宋体" w:cs="宋体"/>
          <w:b/>
          <w:bCs/>
          <w:color w:val="auto"/>
          <w:sz w:val="48"/>
          <w:highlight w:val="none"/>
        </w:rPr>
      </w:pPr>
    </w:p>
    <w:p w14:paraId="3C2DADCE">
      <w:pPr>
        <w:tabs>
          <w:tab w:val="left" w:pos="315"/>
          <w:tab w:val="left" w:pos="8820"/>
        </w:tabs>
        <w:spacing w:line="600" w:lineRule="exact"/>
        <w:ind w:right="267" w:rightChars="127"/>
        <w:jc w:val="center"/>
        <w:rPr>
          <w:rFonts w:hint="eastAsia" w:ascii="宋体" w:hAnsi="宋体" w:cs="宋体"/>
          <w:b/>
          <w:bCs/>
          <w:color w:val="auto"/>
          <w:sz w:val="52"/>
          <w:highlight w:val="none"/>
        </w:rPr>
      </w:pPr>
      <w:r>
        <w:rPr>
          <w:rFonts w:hint="eastAsia" w:ascii="宋体" w:hAnsi="宋体" w:cs="宋体"/>
          <w:b/>
          <w:bCs/>
          <w:color w:val="auto"/>
          <w:sz w:val="52"/>
          <w:highlight w:val="none"/>
        </w:rPr>
        <w:t>政 府 采 购 招 标 文 件</w:t>
      </w:r>
    </w:p>
    <w:p w14:paraId="3F719712">
      <w:pPr>
        <w:tabs>
          <w:tab w:val="left" w:pos="315"/>
          <w:tab w:val="left" w:pos="8820"/>
        </w:tabs>
        <w:spacing w:line="600" w:lineRule="exact"/>
        <w:ind w:right="267" w:rightChars="127"/>
        <w:jc w:val="center"/>
        <w:rPr>
          <w:rFonts w:hint="eastAsia" w:ascii="宋体" w:hAnsi="宋体" w:cs="宋体"/>
          <w:color w:val="auto"/>
          <w:sz w:val="44"/>
          <w:highlight w:val="none"/>
        </w:rPr>
      </w:pPr>
    </w:p>
    <w:p w14:paraId="03BD6236">
      <w:pPr>
        <w:tabs>
          <w:tab w:val="left" w:pos="315"/>
          <w:tab w:val="left" w:pos="8820"/>
        </w:tabs>
        <w:ind w:right="267" w:rightChars="127"/>
        <w:rPr>
          <w:rFonts w:hint="eastAsia" w:ascii="宋体" w:hAnsi="宋体" w:cs="宋体"/>
          <w:color w:val="auto"/>
          <w:sz w:val="44"/>
          <w:highlight w:val="none"/>
        </w:rPr>
      </w:pPr>
    </w:p>
    <w:p w14:paraId="3F056A81">
      <w:pPr>
        <w:tabs>
          <w:tab w:val="left" w:pos="315"/>
          <w:tab w:val="left" w:pos="8820"/>
        </w:tabs>
        <w:ind w:right="267" w:rightChars="127"/>
        <w:rPr>
          <w:rFonts w:hint="eastAsia" w:ascii="宋体" w:hAnsi="宋体" w:cs="宋体"/>
          <w:color w:val="auto"/>
          <w:sz w:val="44"/>
          <w:highlight w:val="none"/>
        </w:rPr>
      </w:pPr>
    </w:p>
    <w:p w14:paraId="4DD3AF6E">
      <w:pPr>
        <w:pStyle w:val="41"/>
        <w:rPr>
          <w:rFonts w:hint="eastAsia" w:ascii="宋体" w:hAnsi="宋体" w:cs="宋体"/>
          <w:color w:val="auto"/>
          <w:sz w:val="44"/>
          <w:highlight w:val="none"/>
        </w:rPr>
      </w:pPr>
    </w:p>
    <w:p w14:paraId="4CFDDD43">
      <w:pPr>
        <w:pStyle w:val="14"/>
        <w:rPr>
          <w:color w:val="auto"/>
          <w:highlight w:val="none"/>
        </w:rPr>
      </w:pPr>
    </w:p>
    <w:p w14:paraId="421E2610">
      <w:pPr>
        <w:pStyle w:val="81"/>
        <w:rPr>
          <w:rFonts w:hint="eastAsia" w:hAnsi="宋体" w:cs="宋体"/>
          <w:color w:val="auto"/>
          <w:sz w:val="44"/>
          <w:highlight w:val="none"/>
        </w:rPr>
      </w:pPr>
    </w:p>
    <w:p w14:paraId="5FA84A3C">
      <w:pPr>
        <w:tabs>
          <w:tab w:val="left" w:pos="315"/>
          <w:tab w:val="left" w:pos="8820"/>
        </w:tabs>
        <w:spacing w:line="500" w:lineRule="exact"/>
        <w:ind w:right="267" w:rightChars="127"/>
        <w:rPr>
          <w:rFonts w:hint="eastAsia" w:ascii="宋体" w:hAnsi="宋体" w:cs="宋体"/>
          <w:color w:val="auto"/>
          <w:sz w:val="36"/>
          <w:highlight w:val="none"/>
        </w:rPr>
      </w:pPr>
    </w:p>
    <w:p w14:paraId="5634C732">
      <w:pPr>
        <w:pStyle w:val="81"/>
        <w:rPr>
          <w:color w:val="auto"/>
          <w:highlight w:val="none"/>
        </w:rPr>
      </w:pPr>
    </w:p>
    <w:p w14:paraId="41CABC7B">
      <w:pPr>
        <w:pStyle w:val="53"/>
        <w:spacing w:line="360" w:lineRule="auto"/>
        <w:ind w:firstLine="643" w:firstLineChars="200"/>
        <w:rPr>
          <w:rFonts w:hint="eastAsia" w:ascii="宋体" w:hAnsi="宋体" w:eastAsia="宋体" w:cs="宋体"/>
          <w:color w:val="auto"/>
          <w:sz w:val="32"/>
          <w:highlight w:val="none"/>
        </w:rPr>
      </w:pPr>
      <w:r>
        <w:rPr>
          <w:rFonts w:hint="eastAsia" w:ascii="宋体" w:hAnsi="宋体" w:eastAsia="宋体" w:cs="宋体"/>
          <w:color w:val="auto"/>
          <w:sz w:val="32"/>
          <w:szCs w:val="32"/>
          <w:highlight w:val="none"/>
        </w:rPr>
        <w:t>项目名称</w:t>
      </w:r>
      <w:r>
        <w:rPr>
          <w:rFonts w:hint="eastAsia" w:ascii="宋体" w:hAnsi="宋体" w:eastAsia="宋体" w:cs="宋体"/>
          <w:color w:val="auto"/>
          <w:szCs w:val="28"/>
          <w:highlight w:val="none"/>
        </w:rPr>
        <w:t>：</w:t>
      </w:r>
      <w:r>
        <w:rPr>
          <w:rFonts w:hint="eastAsia" w:ascii="宋体" w:hAnsi="宋体" w:eastAsia="宋体" w:cs="宋体"/>
          <w:bCs/>
          <w:color w:val="auto"/>
          <w:sz w:val="32"/>
          <w:szCs w:val="32"/>
          <w:highlight w:val="none"/>
        </w:rPr>
        <w:t>周口市公安局高速卡口信息化升级改造及运维项目</w:t>
      </w:r>
    </w:p>
    <w:p w14:paraId="19AD8311">
      <w:pPr>
        <w:pStyle w:val="53"/>
        <w:spacing w:line="360" w:lineRule="auto"/>
        <w:rPr>
          <w:rFonts w:hint="eastAsia" w:ascii="宋体" w:hAnsi="宋体" w:eastAsia="宋体" w:cs="宋体"/>
          <w:color w:val="auto"/>
          <w:sz w:val="32"/>
          <w:highlight w:val="none"/>
        </w:rPr>
      </w:pPr>
    </w:p>
    <w:p w14:paraId="3089E87C">
      <w:pPr>
        <w:pStyle w:val="53"/>
        <w:spacing w:line="360" w:lineRule="auto"/>
        <w:ind w:firstLine="643" w:firstLineChars="200"/>
        <w:rPr>
          <w:rFonts w:hint="eastAsia" w:ascii="宋体" w:hAnsi="宋体" w:eastAsia="宋体" w:cs="宋体"/>
          <w:color w:val="auto"/>
          <w:sz w:val="32"/>
          <w:highlight w:val="none"/>
        </w:rPr>
      </w:pPr>
      <w:r>
        <w:rPr>
          <w:rFonts w:hint="eastAsia" w:ascii="宋体" w:hAnsi="宋体" w:eastAsia="宋体" w:cs="宋体"/>
          <w:color w:val="auto"/>
          <w:sz w:val="32"/>
          <w:highlight w:val="none"/>
        </w:rPr>
        <w:t>项目编号：周财招标采购-2025-54</w:t>
      </w:r>
    </w:p>
    <w:p w14:paraId="2496D2FA">
      <w:pPr>
        <w:spacing w:line="360" w:lineRule="auto"/>
        <w:jc w:val="center"/>
        <w:rPr>
          <w:rFonts w:hint="eastAsia" w:ascii="宋体" w:hAnsi="宋体" w:cs="宋体"/>
          <w:color w:val="auto"/>
          <w:highlight w:val="none"/>
          <w:shd w:val="clear" w:color="auto" w:fill="FFFFFF"/>
        </w:rPr>
      </w:pPr>
    </w:p>
    <w:p w14:paraId="20CF1DCE">
      <w:pPr>
        <w:spacing w:line="360" w:lineRule="auto"/>
        <w:jc w:val="center"/>
        <w:rPr>
          <w:rFonts w:hint="eastAsia" w:ascii="宋体" w:hAnsi="宋体" w:cs="宋体"/>
          <w:b/>
          <w:color w:val="auto"/>
          <w:spacing w:val="-4"/>
          <w:sz w:val="32"/>
          <w:szCs w:val="32"/>
          <w:highlight w:val="none"/>
        </w:rPr>
      </w:pPr>
    </w:p>
    <w:p w14:paraId="20907ACD">
      <w:pPr>
        <w:spacing w:line="360" w:lineRule="auto"/>
        <w:jc w:val="center"/>
        <w:rPr>
          <w:rFonts w:hint="eastAsia" w:ascii="宋体" w:hAnsi="宋体" w:cs="宋体"/>
          <w:b/>
          <w:color w:val="auto"/>
          <w:spacing w:val="-4"/>
          <w:sz w:val="32"/>
          <w:szCs w:val="32"/>
          <w:highlight w:val="none"/>
        </w:rPr>
      </w:pPr>
    </w:p>
    <w:p w14:paraId="6DBE5350">
      <w:pPr>
        <w:spacing w:line="360" w:lineRule="auto"/>
        <w:jc w:val="center"/>
        <w:rPr>
          <w:rFonts w:hint="eastAsia" w:ascii="宋体" w:hAnsi="宋体" w:cs="宋体"/>
          <w:bCs/>
          <w:caps/>
          <w:color w:val="auto"/>
          <w:sz w:val="32"/>
          <w:szCs w:val="32"/>
          <w:highlight w:val="none"/>
        </w:rPr>
      </w:pPr>
      <w:r>
        <w:rPr>
          <w:rFonts w:hint="eastAsia" w:ascii="宋体" w:hAnsi="宋体" w:cs="宋体"/>
          <w:b/>
          <w:color w:val="auto"/>
          <w:spacing w:val="-4"/>
          <w:sz w:val="32"/>
          <w:szCs w:val="32"/>
          <w:highlight w:val="none"/>
        </w:rPr>
        <w:t>2025年1</w:t>
      </w:r>
      <w:r>
        <w:rPr>
          <w:rFonts w:hint="eastAsia" w:ascii="宋体" w:hAnsi="宋体" w:cs="宋体"/>
          <w:b/>
          <w:color w:val="auto"/>
          <w:spacing w:val="-4"/>
          <w:sz w:val="32"/>
          <w:szCs w:val="32"/>
          <w:highlight w:val="none"/>
          <w:lang w:val="en-US" w:eastAsia="zh-CN"/>
        </w:rPr>
        <w:t>2</w:t>
      </w:r>
      <w:r>
        <w:rPr>
          <w:rFonts w:hint="eastAsia" w:ascii="宋体" w:hAnsi="宋体" w:cs="宋体"/>
          <w:b/>
          <w:color w:val="auto"/>
          <w:spacing w:val="-4"/>
          <w:sz w:val="32"/>
          <w:szCs w:val="32"/>
          <w:highlight w:val="none"/>
        </w:rPr>
        <w:t>月</w:t>
      </w:r>
      <w:r>
        <w:rPr>
          <w:rFonts w:hint="eastAsia" w:ascii="宋体" w:hAnsi="宋体" w:cs="宋体"/>
          <w:b/>
          <w:color w:val="auto"/>
          <w:spacing w:val="-4"/>
          <w:sz w:val="32"/>
          <w:szCs w:val="32"/>
          <w:highlight w:val="none"/>
          <w:lang w:val="en-US" w:eastAsia="zh-CN"/>
        </w:rPr>
        <w:t>08</w:t>
      </w:r>
      <w:r>
        <w:rPr>
          <w:rFonts w:hint="eastAsia" w:ascii="宋体" w:hAnsi="宋体" w:cs="宋体"/>
          <w:b/>
          <w:color w:val="auto"/>
          <w:spacing w:val="-4"/>
          <w:sz w:val="32"/>
          <w:szCs w:val="32"/>
          <w:highlight w:val="none"/>
        </w:rPr>
        <w:t>日</w:t>
      </w:r>
      <w:bookmarkStart w:id="0" w:name="_Hlt519045295"/>
      <w:bookmarkEnd w:id="0"/>
      <w:bookmarkStart w:id="1" w:name="_Hlt526418134"/>
      <w:bookmarkEnd w:id="1"/>
      <w:bookmarkStart w:id="2" w:name="_Hlt533241375"/>
      <w:bookmarkEnd w:id="2"/>
      <w:r>
        <w:rPr>
          <w:rFonts w:hint="eastAsia" w:ascii="宋体" w:hAnsi="宋体" w:cs="宋体"/>
          <w:bCs/>
          <w:caps/>
          <w:color w:val="auto"/>
          <w:sz w:val="32"/>
          <w:szCs w:val="32"/>
          <w:highlight w:val="none"/>
        </w:rPr>
        <w:fldChar w:fldCharType="begin"/>
      </w:r>
      <w:r>
        <w:rPr>
          <w:rFonts w:hint="eastAsia" w:ascii="宋体" w:hAnsi="宋体" w:cs="宋体"/>
          <w:bCs/>
          <w:caps/>
          <w:color w:val="auto"/>
          <w:sz w:val="32"/>
          <w:szCs w:val="32"/>
          <w:highlight w:val="none"/>
        </w:rPr>
        <w:instrText xml:space="preserve"> TOC \o "1-3" \h \z </w:instrText>
      </w:r>
      <w:r>
        <w:rPr>
          <w:rFonts w:hint="eastAsia" w:ascii="宋体" w:hAnsi="宋体" w:cs="宋体"/>
          <w:bCs/>
          <w:caps/>
          <w:color w:val="auto"/>
          <w:sz w:val="32"/>
          <w:szCs w:val="32"/>
          <w:highlight w:val="none"/>
        </w:rPr>
        <w:fldChar w:fldCharType="separate"/>
      </w:r>
    </w:p>
    <w:p w14:paraId="74AA251B">
      <w:pPr>
        <w:pStyle w:val="32"/>
        <w:tabs>
          <w:tab w:val="right" w:leader="dot" w:pos="8390"/>
        </w:tabs>
        <w:ind w:left="0" w:leftChars="0" w:firstLine="0" w:firstLineChars="0"/>
        <w:rPr>
          <w:color w:val="auto"/>
          <w:highlight w:val="none"/>
        </w:rPr>
        <w:sectPr>
          <w:footerReference r:id="rId5" w:type="default"/>
          <w:pgSz w:w="11907" w:h="16841"/>
          <w:pgMar w:top="1425" w:right="1090" w:bottom="1007" w:left="1088" w:header="0" w:footer="807" w:gutter="0"/>
          <w:cols w:space="720" w:num="1"/>
        </w:sectPr>
      </w:pPr>
      <w:r>
        <w:rPr>
          <w:rFonts w:hint="eastAsia" w:ascii="宋体" w:hAnsi="宋体" w:cs="宋体"/>
          <w:bCs/>
          <w:caps/>
          <w:color w:val="auto"/>
          <w:sz w:val="32"/>
          <w:szCs w:val="32"/>
          <w:highlight w:val="none"/>
        </w:rPr>
        <w:fldChar w:fldCharType="begin"/>
      </w:r>
      <w:r>
        <w:rPr>
          <w:rFonts w:hint="eastAsia" w:ascii="宋体" w:hAnsi="宋体" w:cs="宋体"/>
          <w:bCs/>
          <w:caps/>
          <w:color w:val="auto"/>
          <w:sz w:val="32"/>
          <w:szCs w:val="32"/>
          <w:highlight w:val="none"/>
        </w:rPr>
        <w:instrText xml:space="preserve"> HYPERLINK \l _Toc8586 </w:instrText>
      </w:r>
      <w:r>
        <w:rPr>
          <w:rFonts w:hint="eastAsia" w:ascii="宋体" w:hAnsi="宋体" w:cs="宋体"/>
          <w:bCs/>
          <w:caps/>
          <w:color w:val="auto"/>
          <w:sz w:val="32"/>
          <w:szCs w:val="32"/>
          <w:highlight w:val="none"/>
        </w:rPr>
        <w:fldChar w:fldCharType="separate"/>
      </w:r>
    </w:p>
    <w:p w14:paraId="3E5E6D93">
      <w:pPr>
        <w:pageBreakBefore/>
        <w:spacing w:line="480" w:lineRule="auto"/>
        <w:jc w:val="center"/>
        <w:rPr>
          <w:rFonts w:hint="eastAsia" w:ascii="宋体" w:hAnsi="宋体" w:cs="宋体"/>
          <w:color w:val="auto"/>
          <w:sz w:val="32"/>
          <w:szCs w:val="32"/>
          <w:highlight w:val="none"/>
        </w:rPr>
      </w:pPr>
      <w:r>
        <w:rPr>
          <w:rFonts w:hint="eastAsia" w:ascii="宋体" w:hAnsi="宋体" w:cs="宋体"/>
          <w:color w:val="auto"/>
          <w:sz w:val="32"/>
          <w:szCs w:val="32"/>
          <w:highlight w:val="none"/>
        </w:rPr>
        <w:t>目   录</w:t>
      </w:r>
    </w:p>
    <w:p w14:paraId="479E887A">
      <w:pPr>
        <w:pStyle w:val="27"/>
        <w:tabs>
          <w:tab w:val="right" w:leader="dot" w:pos="9729"/>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TOC \o "1-1" \h \u </w:instrText>
      </w:r>
      <w:r>
        <w:rPr>
          <w:rFonts w:hint="eastAsia" w:ascii="宋体" w:hAnsi="宋体" w:cs="宋体"/>
          <w:color w:val="auto"/>
          <w:sz w:val="32"/>
          <w:szCs w:val="32"/>
          <w:highlight w:val="none"/>
        </w:rPr>
        <w:fldChar w:fldCharType="separate"/>
      </w:r>
      <w:r>
        <w:rPr>
          <w:color w:val="auto"/>
          <w:highlight w:val="none"/>
        </w:rPr>
        <w:fldChar w:fldCharType="begin"/>
      </w:r>
      <w:r>
        <w:rPr>
          <w:color w:val="auto"/>
          <w:highlight w:val="none"/>
        </w:rPr>
        <w:instrText xml:space="preserve"> HYPERLINK \l "_Toc2086" </w:instrText>
      </w:r>
      <w:r>
        <w:rPr>
          <w:color w:val="auto"/>
          <w:highlight w:val="none"/>
        </w:rPr>
        <w:fldChar w:fldCharType="separate"/>
      </w:r>
      <w:r>
        <w:rPr>
          <w:rFonts w:hint="eastAsia" w:ascii="宋体" w:hAnsi="宋体" w:cs="宋体"/>
          <w:color w:val="auto"/>
          <w:sz w:val="32"/>
          <w:szCs w:val="32"/>
          <w:highlight w:val="none"/>
        </w:rPr>
        <w:t>第一章  招标公告</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_Toc2086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2</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27E695A0">
      <w:pPr>
        <w:pStyle w:val="27"/>
        <w:tabs>
          <w:tab w:val="right" w:leader="dot" w:pos="9729"/>
        </w:tabs>
        <w:spacing w:line="480" w:lineRule="auto"/>
        <w:rPr>
          <w:rFonts w:hint="eastAsia" w:ascii="宋体" w:hAnsi="宋体" w:cs="宋体"/>
          <w:color w:val="auto"/>
          <w:sz w:val="32"/>
          <w:szCs w:val="32"/>
          <w:highlight w:val="none"/>
        </w:rPr>
      </w:pPr>
      <w:r>
        <w:rPr>
          <w:color w:val="auto"/>
          <w:highlight w:val="none"/>
        </w:rPr>
        <w:fldChar w:fldCharType="begin"/>
      </w:r>
      <w:r>
        <w:rPr>
          <w:color w:val="auto"/>
          <w:highlight w:val="none"/>
        </w:rPr>
        <w:instrText xml:space="preserve"> HYPERLINK \l "_Toc873" </w:instrText>
      </w:r>
      <w:r>
        <w:rPr>
          <w:color w:val="auto"/>
          <w:highlight w:val="none"/>
        </w:rPr>
        <w:fldChar w:fldCharType="separate"/>
      </w:r>
      <w:r>
        <w:rPr>
          <w:rFonts w:hint="eastAsia" w:ascii="宋体" w:hAnsi="宋体" w:cs="宋体"/>
          <w:color w:val="auto"/>
          <w:sz w:val="32"/>
          <w:szCs w:val="32"/>
          <w:highlight w:val="none"/>
        </w:rPr>
        <w:t>第二章 投标人须知前附表</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_Toc873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5</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5406E4C7">
      <w:pPr>
        <w:pStyle w:val="27"/>
        <w:tabs>
          <w:tab w:val="right" w:leader="dot" w:pos="9729"/>
        </w:tabs>
        <w:spacing w:line="480" w:lineRule="auto"/>
        <w:rPr>
          <w:rFonts w:hint="eastAsia" w:ascii="宋体" w:hAnsi="宋体" w:cs="宋体"/>
          <w:color w:val="auto"/>
          <w:sz w:val="32"/>
          <w:szCs w:val="32"/>
          <w:highlight w:val="none"/>
        </w:rPr>
      </w:pPr>
      <w:r>
        <w:rPr>
          <w:color w:val="auto"/>
          <w:highlight w:val="none"/>
        </w:rPr>
        <w:fldChar w:fldCharType="begin"/>
      </w:r>
      <w:r>
        <w:rPr>
          <w:color w:val="auto"/>
          <w:highlight w:val="none"/>
        </w:rPr>
        <w:instrText xml:space="preserve"> HYPERLINK \l "_Toc14477" </w:instrText>
      </w:r>
      <w:r>
        <w:rPr>
          <w:color w:val="auto"/>
          <w:highlight w:val="none"/>
        </w:rPr>
        <w:fldChar w:fldCharType="separate"/>
      </w:r>
      <w:r>
        <w:rPr>
          <w:rFonts w:hint="eastAsia" w:ascii="宋体" w:hAnsi="宋体" w:cs="宋体"/>
          <w:color w:val="auto"/>
          <w:sz w:val="32"/>
          <w:szCs w:val="32"/>
          <w:highlight w:val="none"/>
        </w:rPr>
        <w:t>第三章 需求一览表</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_Toc14477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7</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27839557">
      <w:pPr>
        <w:pStyle w:val="27"/>
        <w:tabs>
          <w:tab w:val="right" w:leader="dot" w:pos="9729"/>
        </w:tabs>
        <w:spacing w:line="480" w:lineRule="auto"/>
        <w:rPr>
          <w:rFonts w:hint="eastAsia" w:ascii="宋体" w:hAnsi="宋体" w:cs="宋体"/>
          <w:color w:val="auto"/>
          <w:sz w:val="32"/>
          <w:szCs w:val="32"/>
          <w:highlight w:val="none"/>
        </w:rPr>
      </w:pPr>
      <w:r>
        <w:rPr>
          <w:color w:val="auto"/>
          <w:highlight w:val="none"/>
        </w:rPr>
        <w:fldChar w:fldCharType="begin"/>
      </w:r>
      <w:r>
        <w:rPr>
          <w:color w:val="auto"/>
          <w:highlight w:val="none"/>
        </w:rPr>
        <w:instrText xml:space="preserve"> HYPERLINK \l "_Toc28998" </w:instrText>
      </w:r>
      <w:r>
        <w:rPr>
          <w:color w:val="auto"/>
          <w:highlight w:val="none"/>
        </w:rPr>
        <w:fldChar w:fldCharType="separate"/>
      </w:r>
      <w:r>
        <w:rPr>
          <w:rFonts w:hint="eastAsia" w:ascii="宋体" w:hAnsi="宋体" w:cs="宋体"/>
          <w:color w:val="auto"/>
          <w:sz w:val="32"/>
          <w:szCs w:val="32"/>
          <w:highlight w:val="none"/>
        </w:rPr>
        <w:t>第四章 评标办法</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_Toc28998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22</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7E04E56C">
      <w:pPr>
        <w:pStyle w:val="27"/>
        <w:tabs>
          <w:tab w:val="right" w:leader="dot" w:pos="9729"/>
        </w:tabs>
        <w:spacing w:line="480" w:lineRule="auto"/>
        <w:rPr>
          <w:rFonts w:hint="eastAsia" w:ascii="宋体" w:hAnsi="宋体" w:cs="宋体"/>
          <w:color w:val="auto"/>
          <w:sz w:val="32"/>
          <w:szCs w:val="32"/>
          <w:highlight w:val="none"/>
        </w:rPr>
      </w:pPr>
      <w:r>
        <w:rPr>
          <w:color w:val="auto"/>
          <w:highlight w:val="none"/>
        </w:rPr>
        <w:fldChar w:fldCharType="begin"/>
      </w:r>
      <w:r>
        <w:rPr>
          <w:color w:val="auto"/>
          <w:highlight w:val="none"/>
        </w:rPr>
        <w:instrText xml:space="preserve"> HYPERLINK \l "_Toc6109" </w:instrText>
      </w:r>
      <w:r>
        <w:rPr>
          <w:color w:val="auto"/>
          <w:highlight w:val="none"/>
        </w:rPr>
        <w:fldChar w:fldCharType="separate"/>
      </w:r>
      <w:r>
        <w:rPr>
          <w:rFonts w:hint="eastAsia" w:ascii="宋体" w:hAnsi="宋体" w:cs="宋体"/>
          <w:color w:val="auto"/>
          <w:sz w:val="32"/>
          <w:szCs w:val="32"/>
          <w:highlight w:val="none"/>
        </w:rPr>
        <w:t>第五章 投标人须知</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_Toc6109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30</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1CE250A1">
      <w:pPr>
        <w:pStyle w:val="27"/>
        <w:tabs>
          <w:tab w:val="right" w:leader="dot" w:pos="9729"/>
        </w:tabs>
        <w:spacing w:line="480" w:lineRule="auto"/>
        <w:rPr>
          <w:rFonts w:hint="eastAsia" w:ascii="宋体" w:hAnsi="宋体" w:cs="宋体"/>
          <w:color w:val="auto"/>
          <w:sz w:val="32"/>
          <w:szCs w:val="32"/>
          <w:highlight w:val="none"/>
        </w:rPr>
      </w:pPr>
      <w:r>
        <w:rPr>
          <w:color w:val="auto"/>
          <w:highlight w:val="none"/>
        </w:rPr>
        <w:fldChar w:fldCharType="begin"/>
      </w:r>
      <w:r>
        <w:rPr>
          <w:color w:val="auto"/>
          <w:highlight w:val="none"/>
        </w:rPr>
        <w:instrText xml:space="preserve"> HYPERLINK \l "_Toc26178" </w:instrText>
      </w:r>
      <w:r>
        <w:rPr>
          <w:color w:val="auto"/>
          <w:highlight w:val="none"/>
        </w:rPr>
        <w:fldChar w:fldCharType="separate"/>
      </w:r>
      <w:r>
        <w:rPr>
          <w:rFonts w:hint="eastAsia" w:ascii="宋体" w:hAnsi="宋体" w:cs="宋体"/>
          <w:color w:val="auto"/>
          <w:sz w:val="32"/>
          <w:szCs w:val="32"/>
          <w:highlight w:val="none"/>
        </w:rPr>
        <w:t>第六章 周口市政府采购合同（服务类）标准文本</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_Toc26178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44</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313BF5A6">
      <w:pPr>
        <w:pStyle w:val="27"/>
        <w:tabs>
          <w:tab w:val="right" w:leader="dot" w:pos="9729"/>
        </w:tabs>
        <w:spacing w:line="480" w:lineRule="auto"/>
        <w:rPr>
          <w:rFonts w:hint="eastAsia" w:ascii="宋体" w:hAnsi="宋体" w:cs="宋体"/>
          <w:color w:val="auto"/>
          <w:sz w:val="32"/>
          <w:szCs w:val="32"/>
          <w:highlight w:val="none"/>
        </w:rPr>
      </w:pPr>
      <w:r>
        <w:rPr>
          <w:color w:val="auto"/>
          <w:highlight w:val="none"/>
        </w:rPr>
        <w:fldChar w:fldCharType="begin"/>
      </w:r>
      <w:r>
        <w:rPr>
          <w:color w:val="auto"/>
          <w:highlight w:val="none"/>
        </w:rPr>
        <w:instrText xml:space="preserve"> HYPERLINK \l "_Toc22345" </w:instrText>
      </w:r>
      <w:r>
        <w:rPr>
          <w:color w:val="auto"/>
          <w:highlight w:val="none"/>
        </w:rPr>
        <w:fldChar w:fldCharType="separate"/>
      </w:r>
      <w:r>
        <w:rPr>
          <w:rFonts w:hint="eastAsia" w:ascii="宋体" w:hAnsi="宋体" w:cs="宋体"/>
          <w:color w:val="auto"/>
          <w:sz w:val="32"/>
          <w:szCs w:val="32"/>
          <w:highlight w:val="none"/>
        </w:rPr>
        <w:t>第七章 投标文件格式</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_Toc22345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49</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644BADE1">
      <w:pPr>
        <w:pStyle w:val="27"/>
        <w:tabs>
          <w:tab w:val="right" w:leader="dot" w:pos="9729"/>
        </w:tabs>
        <w:spacing w:line="480" w:lineRule="auto"/>
        <w:rPr>
          <w:rFonts w:hint="eastAsia" w:ascii="宋体" w:hAnsi="宋体" w:cs="宋体"/>
          <w:color w:val="auto"/>
          <w:sz w:val="32"/>
          <w:szCs w:val="32"/>
          <w:highlight w:val="none"/>
        </w:rPr>
      </w:pPr>
      <w:r>
        <w:rPr>
          <w:color w:val="auto"/>
          <w:highlight w:val="none"/>
        </w:rPr>
        <w:fldChar w:fldCharType="begin"/>
      </w:r>
      <w:r>
        <w:rPr>
          <w:color w:val="auto"/>
          <w:highlight w:val="none"/>
        </w:rPr>
        <w:instrText xml:space="preserve"> HYPERLINK \l "_Toc18308" </w:instrText>
      </w:r>
      <w:r>
        <w:rPr>
          <w:color w:val="auto"/>
          <w:highlight w:val="none"/>
        </w:rPr>
        <w:fldChar w:fldCharType="separate"/>
      </w:r>
      <w:r>
        <w:rPr>
          <w:rFonts w:hint="eastAsia" w:ascii="宋体" w:hAnsi="宋体" w:cs="宋体"/>
          <w:color w:val="auto"/>
          <w:sz w:val="32"/>
          <w:szCs w:val="32"/>
          <w:highlight w:val="none"/>
        </w:rPr>
        <w:t>周口市政府采购合同融资政策告知函</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_Toc18308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66</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465A8301">
      <w:pPr>
        <w:spacing w:line="480" w:lineRule="auto"/>
        <w:rPr>
          <w:rFonts w:hint="eastAsia" w:ascii="宋体" w:hAnsi="宋体" w:cs="宋体"/>
          <w:bCs/>
          <w:caps/>
          <w:color w:val="auto"/>
          <w:sz w:val="32"/>
          <w:szCs w:val="32"/>
          <w:highlight w:val="none"/>
        </w:rPr>
      </w:pPr>
      <w:r>
        <w:rPr>
          <w:rFonts w:hint="eastAsia" w:ascii="宋体" w:hAnsi="宋体" w:cs="宋体"/>
          <w:color w:val="auto"/>
          <w:sz w:val="32"/>
          <w:szCs w:val="32"/>
          <w:highlight w:val="none"/>
        </w:rPr>
        <w:fldChar w:fldCharType="end"/>
      </w:r>
      <w:r>
        <w:rPr>
          <w:rFonts w:hint="eastAsia" w:ascii="宋体" w:hAnsi="宋体" w:cs="宋体"/>
          <w:bCs/>
          <w:caps/>
          <w:color w:val="auto"/>
          <w:sz w:val="32"/>
          <w:szCs w:val="32"/>
          <w:highlight w:val="none"/>
        </w:rPr>
        <w:fldChar w:fldCharType="end"/>
      </w:r>
    </w:p>
    <w:p w14:paraId="545F1297">
      <w:pPr>
        <w:pStyle w:val="32"/>
        <w:tabs>
          <w:tab w:val="right" w:leader="dot" w:pos="8390"/>
        </w:tabs>
        <w:rPr>
          <w:rFonts w:hint="eastAsia" w:ascii="宋体" w:hAnsi="宋体" w:cs="宋体"/>
          <w:bCs/>
          <w:caps/>
          <w:color w:val="auto"/>
          <w:sz w:val="32"/>
          <w:szCs w:val="32"/>
          <w:highlight w:val="none"/>
        </w:rPr>
      </w:pPr>
      <w:r>
        <w:rPr>
          <w:rFonts w:hint="eastAsia" w:ascii="宋体" w:hAnsi="宋体" w:cs="宋体"/>
          <w:bCs/>
          <w:caps/>
          <w:color w:val="auto"/>
          <w:sz w:val="32"/>
          <w:szCs w:val="32"/>
          <w:highlight w:val="none"/>
        </w:rPr>
        <w:fldChar w:fldCharType="end"/>
      </w:r>
    </w:p>
    <w:p w14:paraId="5E591FD1">
      <w:pPr>
        <w:pStyle w:val="32"/>
        <w:tabs>
          <w:tab w:val="right" w:leader="dot" w:pos="8390"/>
        </w:tabs>
        <w:rPr>
          <w:rFonts w:hint="eastAsia" w:ascii="宋体" w:hAnsi="宋体" w:cs="宋体"/>
          <w:bCs/>
          <w:caps/>
          <w:color w:val="auto"/>
          <w:sz w:val="32"/>
          <w:szCs w:val="32"/>
          <w:highlight w:val="none"/>
        </w:rPr>
      </w:pPr>
    </w:p>
    <w:p w14:paraId="1C268386">
      <w:pPr>
        <w:pStyle w:val="32"/>
        <w:tabs>
          <w:tab w:val="right" w:leader="dot" w:pos="8390"/>
        </w:tabs>
        <w:rPr>
          <w:rFonts w:hint="eastAsia" w:ascii="宋体" w:hAnsi="宋体" w:cs="宋体"/>
          <w:bCs/>
          <w:caps/>
          <w:color w:val="auto"/>
          <w:sz w:val="32"/>
          <w:szCs w:val="32"/>
          <w:highlight w:val="none"/>
        </w:rPr>
      </w:pPr>
    </w:p>
    <w:p w14:paraId="0C90630E">
      <w:pPr>
        <w:rPr>
          <w:rFonts w:hint="eastAsia" w:ascii="宋体" w:hAnsi="宋体" w:cs="宋体"/>
          <w:b/>
          <w:bCs/>
          <w:caps/>
          <w:color w:val="auto"/>
          <w:sz w:val="24"/>
          <w:highlight w:val="none"/>
        </w:rPr>
      </w:pPr>
    </w:p>
    <w:p w14:paraId="1A34CC7B">
      <w:pPr>
        <w:rPr>
          <w:rFonts w:hint="eastAsia" w:ascii="宋体" w:hAnsi="宋体" w:cs="宋体"/>
          <w:b/>
          <w:bCs/>
          <w:caps/>
          <w:color w:val="auto"/>
          <w:sz w:val="24"/>
          <w:highlight w:val="none"/>
        </w:rPr>
      </w:pPr>
    </w:p>
    <w:p w14:paraId="76954D97">
      <w:pPr>
        <w:rPr>
          <w:rFonts w:hint="eastAsia" w:ascii="宋体" w:hAnsi="宋体" w:cs="宋体"/>
          <w:b/>
          <w:bCs/>
          <w:caps/>
          <w:color w:val="auto"/>
          <w:sz w:val="24"/>
          <w:highlight w:val="none"/>
        </w:rPr>
      </w:pPr>
    </w:p>
    <w:p w14:paraId="58CEA1ED">
      <w:pPr>
        <w:rPr>
          <w:rFonts w:hint="eastAsia" w:ascii="宋体" w:hAnsi="宋体" w:cs="宋体"/>
          <w:b/>
          <w:bCs/>
          <w:caps/>
          <w:color w:val="auto"/>
          <w:sz w:val="24"/>
          <w:highlight w:val="none"/>
        </w:rPr>
      </w:pPr>
    </w:p>
    <w:p w14:paraId="0A26D58C">
      <w:pPr>
        <w:rPr>
          <w:rFonts w:hint="eastAsia" w:ascii="宋体" w:hAnsi="宋体" w:cs="宋体"/>
          <w:b/>
          <w:bCs/>
          <w:caps/>
          <w:color w:val="auto"/>
          <w:sz w:val="24"/>
          <w:highlight w:val="none"/>
        </w:rPr>
      </w:pPr>
    </w:p>
    <w:p w14:paraId="0EDB042D">
      <w:pPr>
        <w:pStyle w:val="4"/>
        <w:jc w:val="center"/>
        <w:rPr>
          <w:color w:val="auto"/>
          <w:highlight w:val="none"/>
        </w:rPr>
        <w:sectPr>
          <w:footerReference r:id="rId6" w:type="default"/>
          <w:pgSz w:w="11907" w:h="16841"/>
          <w:pgMar w:top="1425" w:right="1090" w:bottom="1007" w:left="1088" w:header="0" w:footer="807" w:gutter="0"/>
          <w:pgNumType w:start="1"/>
          <w:cols w:space="720" w:num="1"/>
        </w:sectPr>
      </w:pPr>
      <w:bookmarkStart w:id="3" w:name="_Toc20608"/>
      <w:bookmarkStart w:id="4" w:name="_Toc28426_WPSOffice_Level1"/>
    </w:p>
    <w:p w14:paraId="033BDB30">
      <w:pPr>
        <w:pStyle w:val="4"/>
        <w:pageBreakBefore w:val="0"/>
        <w:kinsoku/>
        <w:wordWrap/>
        <w:overflowPunct/>
        <w:topLinePunct w:val="0"/>
        <w:autoSpaceDE/>
        <w:autoSpaceDN/>
        <w:bidi w:val="0"/>
        <w:spacing w:before="0" w:after="0" w:line="500" w:lineRule="exact"/>
        <w:jc w:val="center"/>
        <w:rPr>
          <w:color w:val="auto"/>
          <w:highlight w:val="none"/>
        </w:rPr>
      </w:pPr>
      <w:bookmarkStart w:id="5" w:name="_Toc2086"/>
      <w:r>
        <w:rPr>
          <w:rFonts w:hint="eastAsia"/>
          <w:color w:val="auto"/>
          <w:highlight w:val="none"/>
        </w:rPr>
        <w:t>第一章  招标公告</w:t>
      </w:r>
      <w:bookmarkEnd w:id="3"/>
      <w:bookmarkEnd w:id="4"/>
      <w:bookmarkEnd w:id="5"/>
    </w:p>
    <w:p w14:paraId="2A5473B1">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项目概况</w:t>
      </w:r>
    </w:p>
    <w:p w14:paraId="04E70A13">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周口市公安局高速卡口信息化升级改造及运维项目的潜在投标人应在周口市公共资源交易中心网（http://jyzx.zhoukou.gov.cn）获取招标文件，并于2025年</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29</w:t>
      </w:r>
      <w:r>
        <w:rPr>
          <w:rFonts w:hint="eastAsia" w:ascii="宋体" w:hAnsi="宋体" w:cs="宋体"/>
          <w:color w:val="auto"/>
          <w:sz w:val="24"/>
          <w:highlight w:val="none"/>
        </w:rPr>
        <w:t>日    10时00分（北京时间）前递交投标文件。</w:t>
      </w:r>
    </w:p>
    <w:p w14:paraId="2E7A2AEF">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bookmarkStart w:id="6" w:name="_Toc28359079"/>
      <w:bookmarkStart w:id="7" w:name="_Toc35393790"/>
      <w:bookmarkStart w:id="8" w:name="_Toc28359002"/>
      <w:bookmarkStart w:id="9" w:name="_Toc35393621"/>
      <w:bookmarkStart w:id="10" w:name="_Hlk24379207"/>
      <w:r>
        <w:rPr>
          <w:rFonts w:hint="eastAsia" w:ascii="宋体" w:hAnsi="宋体" w:cs="宋体"/>
          <w:color w:val="auto"/>
          <w:sz w:val="24"/>
          <w:highlight w:val="none"/>
        </w:rPr>
        <w:t>一、项目基本情况</w:t>
      </w:r>
      <w:bookmarkEnd w:id="6"/>
      <w:bookmarkEnd w:id="7"/>
      <w:bookmarkEnd w:id="8"/>
      <w:bookmarkEnd w:id="9"/>
    </w:p>
    <w:p w14:paraId="1FCDD6DD">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1、项目编号：周财招标采购-2025-54</w:t>
      </w:r>
    </w:p>
    <w:p w14:paraId="36B88D10">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2、项目名称：</w:t>
      </w:r>
      <w:bookmarkEnd w:id="10"/>
      <w:r>
        <w:rPr>
          <w:rFonts w:hint="eastAsia" w:ascii="宋体" w:hAnsi="宋体" w:cs="宋体"/>
          <w:color w:val="auto"/>
          <w:sz w:val="24"/>
          <w:highlight w:val="none"/>
        </w:rPr>
        <w:t>周口市公安局高速卡口信息化升级改造及运维项目</w:t>
      </w:r>
    </w:p>
    <w:p w14:paraId="6108822A">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3、预算金额：7150959.55元，最高限价：7150959.55元</w:t>
      </w:r>
    </w:p>
    <w:p w14:paraId="1E767FEB">
      <w:pPr>
        <w:pageBreakBefore w:val="0"/>
        <w:kinsoku/>
        <w:wordWrap/>
        <w:overflowPunct/>
        <w:topLinePunct w:val="0"/>
        <w:autoSpaceDE/>
        <w:autoSpaceDN/>
        <w:bidi w:val="0"/>
        <w:spacing w:after="0" w:line="500" w:lineRule="exact"/>
        <w:ind w:firstLine="480" w:firstLineChars="200"/>
        <w:jc w:val="left"/>
        <w:rPr>
          <w:rFonts w:hint="eastAsia" w:hAnsi="宋体" w:cs="宋体"/>
          <w:color w:val="auto"/>
          <w:kern w:val="0"/>
          <w:sz w:val="24"/>
          <w:highlight w:val="none"/>
        </w:rPr>
      </w:pPr>
      <w:r>
        <w:rPr>
          <w:rFonts w:hint="eastAsia" w:hAnsi="宋体" w:cs="宋体"/>
          <w:color w:val="auto"/>
          <w:kern w:val="0"/>
          <w:sz w:val="24"/>
          <w:highlight w:val="none"/>
        </w:rPr>
        <w:t>4、采购方式：公开招标</w:t>
      </w:r>
    </w:p>
    <w:p w14:paraId="43161B1C">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包别划分：</w:t>
      </w:r>
      <w:r>
        <w:rPr>
          <w:rFonts w:hint="eastAsia" w:ascii="宋体" w:hAnsi="宋体" w:cs="宋体"/>
          <w:color w:val="auto"/>
          <w:sz w:val="24"/>
          <w:highlight w:val="none"/>
          <w:u w:val="single"/>
        </w:rPr>
        <w:t xml:space="preserve"> 1 </w:t>
      </w:r>
      <w:r>
        <w:rPr>
          <w:rFonts w:hint="eastAsia" w:ascii="宋体" w:hAnsi="宋体" w:cs="宋体"/>
          <w:color w:val="auto"/>
          <w:sz w:val="24"/>
          <w:highlight w:val="none"/>
        </w:rPr>
        <w:t>个包</w:t>
      </w:r>
    </w:p>
    <w:tbl>
      <w:tblPr>
        <w:tblStyle w:val="35"/>
        <w:tblW w:w="9239" w:type="dxa"/>
        <w:tblInd w:w="-34" w:type="dxa"/>
        <w:tblLayout w:type="fixed"/>
        <w:tblCellMar>
          <w:top w:w="0" w:type="dxa"/>
          <w:left w:w="108" w:type="dxa"/>
          <w:bottom w:w="0" w:type="dxa"/>
          <w:right w:w="108" w:type="dxa"/>
        </w:tblCellMar>
      </w:tblPr>
      <w:tblGrid>
        <w:gridCol w:w="664"/>
        <w:gridCol w:w="4226"/>
        <w:gridCol w:w="1577"/>
        <w:gridCol w:w="2772"/>
      </w:tblGrid>
      <w:tr w14:paraId="3C5BD699">
        <w:tblPrEx>
          <w:tblCellMar>
            <w:top w:w="0" w:type="dxa"/>
            <w:left w:w="108" w:type="dxa"/>
            <w:bottom w:w="0" w:type="dxa"/>
            <w:right w:w="108" w:type="dxa"/>
          </w:tblCellMar>
        </w:tblPrEx>
        <w:trPr>
          <w:trHeight w:val="512" w:hRule="atLeast"/>
        </w:trPr>
        <w:tc>
          <w:tcPr>
            <w:tcW w:w="664" w:type="dxa"/>
            <w:tcBorders>
              <w:top w:val="single" w:color="000000" w:sz="4" w:space="0"/>
              <w:left w:val="single" w:color="000000" w:sz="4" w:space="0"/>
              <w:bottom w:val="single" w:color="000000" w:sz="4" w:space="0"/>
              <w:right w:val="single" w:color="000000" w:sz="4" w:space="0"/>
            </w:tcBorders>
            <w:vAlign w:val="center"/>
          </w:tcPr>
          <w:p w14:paraId="421AD89D">
            <w:pPr>
              <w:pageBreakBefore w:val="0"/>
              <w:widowControl/>
              <w:kinsoku/>
              <w:wordWrap/>
              <w:overflowPunct/>
              <w:topLinePunct w:val="0"/>
              <w:autoSpaceDE/>
              <w:autoSpaceDN/>
              <w:bidi w:val="0"/>
              <w:spacing w:after="0" w:line="500" w:lineRule="exact"/>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包号</w:t>
            </w:r>
          </w:p>
        </w:tc>
        <w:tc>
          <w:tcPr>
            <w:tcW w:w="4226" w:type="dxa"/>
            <w:tcBorders>
              <w:top w:val="single" w:color="000000" w:sz="4" w:space="0"/>
              <w:left w:val="single" w:color="000000" w:sz="4" w:space="0"/>
              <w:bottom w:val="single" w:color="000000" w:sz="4" w:space="0"/>
              <w:right w:val="single" w:color="000000" w:sz="4" w:space="0"/>
            </w:tcBorders>
            <w:vAlign w:val="center"/>
          </w:tcPr>
          <w:p w14:paraId="1AF4D7E7">
            <w:pPr>
              <w:pageBreakBefore w:val="0"/>
              <w:widowControl/>
              <w:kinsoku/>
              <w:wordWrap/>
              <w:overflowPunct/>
              <w:topLinePunct w:val="0"/>
              <w:autoSpaceDE/>
              <w:autoSpaceDN/>
              <w:bidi w:val="0"/>
              <w:spacing w:after="0" w:line="500" w:lineRule="exact"/>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包名称</w:t>
            </w:r>
          </w:p>
        </w:tc>
        <w:tc>
          <w:tcPr>
            <w:tcW w:w="1577" w:type="dxa"/>
            <w:tcBorders>
              <w:top w:val="single" w:color="000000" w:sz="4" w:space="0"/>
              <w:left w:val="single" w:color="000000" w:sz="4" w:space="0"/>
              <w:bottom w:val="single" w:color="000000" w:sz="4" w:space="0"/>
              <w:right w:val="single" w:color="000000" w:sz="4" w:space="0"/>
            </w:tcBorders>
            <w:vAlign w:val="center"/>
          </w:tcPr>
          <w:p w14:paraId="3E0B7CBB">
            <w:pPr>
              <w:pageBreakBefore w:val="0"/>
              <w:widowControl/>
              <w:kinsoku/>
              <w:wordWrap/>
              <w:overflowPunct/>
              <w:topLinePunct w:val="0"/>
              <w:autoSpaceDE/>
              <w:autoSpaceDN/>
              <w:bidi w:val="0"/>
              <w:spacing w:after="0" w:line="500" w:lineRule="exact"/>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包预算</w:t>
            </w:r>
          </w:p>
          <w:p w14:paraId="59BCD42B">
            <w:pPr>
              <w:pageBreakBefore w:val="0"/>
              <w:widowControl/>
              <w:kinsoku/>
              <w:wordWrap/>
              <w:overflowPunct/>
              <w:topLinePunct w:val="0"/>
              <w:autoSpaceDE/>
              <w:autoSpaceDN/>
              <w:bidi w:val="0"/>
              <w:spacing w:after="0" w:line="500" w:lineRule="exact"/>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（元）</w:t>
            </w:r>
          </w:p>
        </w:tc>
        <w:tc>
          <w:tcPr>
            <w:tcW w:w="2772" w:type="dxa"/>
            <w:tcBorders>
              <w:top w:val="single" w:color="000000" w:sz="4" w:space="0"/>
              <w:left w:val="single" w:color="000000" w:sz="4" w:space="0"/>
              <w:bottom w:val="single" w:color="000000" w:sz="4" w:space="0"/>
              <w:right w:val="single" w:color="000000" w:sz="4" w:space="0"/>
            </w:tcBorders>
            <w:vAlign w:val="center"/>
          </w:tcPr>
          <w:p w14:paraId="3C246557">
            <w:pPr>
              <w:pageBreakBefore w:val="0"/>
              <w:widowControl/>
              <w:kinsoku/>
              <w:wordWrap/>
              <w:overflowPunct/>
              <w:topLinePunct w:val="0"/>
              <w:autoSpaceDE/>
              <w:autoSpaceDN/>
              <w:bidi w:val="0"/>
              <w:spacing w:after="0" w:line="500" w:lineRule="exact"/>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包最高限价</w:t>
            </w:r>
          </w:p>
          <w:p w14:paraId="5B508DC6">
            <w:pPr>
              <w:pageBreakBefore w:val="0"/>
              <w:widowControl/>
              <w:kinsoku/>
              <w:wordWrap/>
              <w:overflowPunct/>
              <w:topLinePunct w:val="0"/>
              <w:autoSpaceDE/>
              <w:autoSpaceDN/>
              <w:bidi w:val="0"/>
              <w:spacing w:after="0" w:line="500" w:lineRule="exact"/>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（元）</w:t>
            </w:r>
          </w:p>
        </w:tc>
      </w:tr>
      <w:tr w14:paraId="3C5159A2">
        <w:tblPrEx>
          <w:tblCellMar>
            <w:top w:w="0" w:type="dxa"/>
            <w:left w:w="108" w:type="dxa"/>
            <w:bottom w:w="0" w:type="dxa"/>
            <w:right w:w="108" w:type="dxa"/>
          </w:tblCellMar>
        </w:tblPrEx>
        <w:trPr>
          <w:trHeight w:val="723" w:hRule="atLeast"/>
        </w:trPr>
        <w:tc>
          <w:tcPr>
            <w:tcW w:w="664" w:type="dxa"/>
            <w:tcBorders>
              <w:left w:val="single" w:color="000000" w:sz="4" w:space="0"/>
              <w:bottom w:val="single" w:color="000000" w:sz="4" w:space="0"/>
              <w:right w:val="single" w:color="000000" w:sz="4" w:space="0"/>
            </w:tcBorders>
            <w:vAlign w:val="center"/>
          </w:tcPr>
          <w:p w14:paraId="2A44741D">
            <w:pPr>
              <w:pageBreakBefore w:val="0"/>
              <w:widowControl/>
              <w:kinsoku/>
              <w:wordWrap/>
              <w:overflowPunct/>
              <w:topLinePunct w:val="0"/>
              <w:autoSpaceDE/>
              <w:autoSpaceDN/>
              <w:bidi w:val="0"/>
              <w:spacing w:after="0" w:line="500" w:lineRule="exact"/>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1 </w:t>
            </w:r>
          </w:p>
        </w:tc>
        <w:tc>
          <w:tcPr>
            <w:tcW w:w="4226" w:type="dxa"/>
            <w:tcBorders>
              <w:top w:val="single" w:color="000000" w:sz="4" w:space="0"/>
              <w:left w:val="single" w:color="000000" w:sz="4" w:space="0"/>
              <w:bottom w:val="single" w:color="000000" w:sz="4" w:space="0"/>
              <w:right w:val="single" w:color="000000" w:sz="4" w:space="0"/>
            </w:tcBorders>
            <w:vAlign w:val="center"/>
          </w:tcPr>
          <w:p w14:paraId="1F274FC8">
            <w:pPr>
              <w:pageBreakBefore w:val="0"/>
              <w:kinsoku/>
              <w:wordWrap/>
              <w:overflowPunct/>
              <w:topLinePunct w:val="0"/>
              <w:autoSpaceDE/>
              <w:autoSpaceDN/>
              <w:bidi w:val="0"/>
              <w:spacing w:after="0" w:line="500" w:lineRule="exact"/>
              <w:jc w:val="left"/>
              <w:rPr>
                <w:rFonts w:hint="eastAsia" w:ascii="宋体" w:hAnsi="宋体" w:cs="宋体"/>
                <w:color w:val="auto"/>
                <w:kern w:val="0"/>
                <w:szCs w:val="21"/>
                <w:highlight w:val="none"/>
              </w:rPr>
            </w:pPr>
            <w:r>
              <w:rPr>
                <w:rFonts w:hint="eastAsia" w:ascii="宋体" w:hAnsi="宋体" w:cs="宋体"/>
                <w:color w:val="auto"/>
                <w:sz w:val="24"/>
                <w:highlight w:val="none"/>
              </w:rPr>
              <w:t>周口市公安局高速卡口信息化升级改造及运维项目</w:t>
            </w:r>
          </w:p>
        </w:tc>
        <w:tc>
          <w:tcPr>
            <w:tcW w:w="1577" w:type="dxa"/>
            <w:tcBorders>
              <w:left w:val="single" w:color="000000" w:sz="4" w:space="0"/>
              <w:bottom w:val="single" w:color="000000" w:sz="4" w:space="0"/>
              <w:right w:val="single" w:color="000000" w:sz="4" w:space="0"/>
            </w:tcBorders>
            <w:vAlign w:val="center"/>
          </w:tcPr>
          <w:p w14:paraId="422C7DED">
            <w:pPr>
              <w:pageBreakBefore w:val="0"/>
              <w:widowControl/>
              <w:kinsoku/>
              <w:wordWrap/>
              <w:overflowPunct/>
              <w:topLinePunct w:val="0"/>
              <w:autoSpaceDE/>
              <w:autoSpaceDN/>
              <w:bidi w:val="0"/>
              <w:spacing w:after="0" w:line="500" w:lineRule="exact"/>
              <w:jc w:val="center"/>
              <w:rPr>
                <w:rFonts w:hint="eastAsia" w:ascii="宋体" w:hAnsi="宋体" w:cs="宋体"/>
                <w:color w:val="auto"/>
                <w:kern w:val="0"/>
                <w:szCs w:val="21"/>
                <w:highlight w:val="none"/>
              </w:rPr>
            </w:pPr>
            <w:r>
              <w:rPr>
                <w:rFonts w:hint="eastAsia" w:ascii="宋体" w:hAnsi="宋体" w:cs="宋体"/>
                <w:color w:val="auto"/>
                <w:sz w:val="24"/>
                <w:highlight w:val="none"/>
              </w:rPr>
              <w:t>7150959.55</w:t>
            </w:r>
          </w:p>
        </w:tc>
        <w:tc>
          <w:tcPr>
            <w:tcW w:w="2772" w:type="dxa"/>
            <w:tcBorders>
              <w:left w:val="single" w:color="000000" w:sz="4" w:space="0"/>
              <w:bottom w:val="single" w:color="000000" w:sz="4" w:space="0"/>
              <w:right w:val="single" w:color="000000" w:sz="4" w:space="0"/>
            </w:tcBorders>
            <w:vAlign w:val="center"/>
          </w:tcPr>
          <w:p w14:paraId="3FE7D7DF">
            <w:pPr>
              <w:pageBreakBefore w:val="0"/>
              <w:widowControl/>
              <w:kinsoku/>
              <w:wordWrap/>
              <w:overflowPunct/>
              <w:topLinePunct w:val="0"/>
              <w:autoSpaceDE/>
              <w:autoSpaceDN/>
              <w:bidi w:val="0"/>
              <w:spacing w:after="0" w:line="500" w:lineRule="exact"/>
              <w:jc w:val="center"/>
              <w:rPr>
                <w:rFonts w:hint="eastAsia" w:ascii="宋体" w:hAnsi="宋体" w:cs="宋体"/>
                <w:color w:val="auto"/>
                <w:kern w:val="0"/>
                <w:szCs w:val="21"/>
                <w:highlight w:val="none"/>
              </w:rPr>
            </w:pPr>
            <w:r>
              <w:rPr>
                <w:rFonts w:hint="eastAsia" w:ascii="宋体" w:hAnsi="宋体" w:cs="宋体"/>
                <w:color w:val="auto"/>
                <w:kern w:val="0"/>
                <w:sz w:val="24"/>
                <w:highlight w:val="none"/>
              </w:rPr>
              <w:t>7150959.55</w:t>
            </w:r>
          </w:p>
        </w:tc>
      </w:tr>
    </w:tbl>
    <w:p w14:paraId="17E86A9B">
      <w:pPr>
        <w:pStyle w:val="41"/>
        <w:pageBreakBefore w:val="0"/>
        <w:kinsoku/>
        <w:wordWrap/>
        <w:overflowPunct/>
        <w:topLinePunct w:val="0"/>
        <w:autoSpaceDE/>
        <w:autoSpaceDN/>
        <w:bidi w:val="0"/>
        <w:spacing w:after="0" w:line="500" w:lineRule="exact"/>
        <w:rPr>
          <w:color w:val="auto"/>
          <w:highlight w:val="none"/>
        </w:rPr>
      </w:pPr>
    </w:p>
    <w:p w14:paraId="4A4E6C1D">
      <w:pPr>
        <w:pageBreakBefore w:val="0"/>
        <w:kinsoku/>
        <w:wordWrap/>
        <w:overflowPunct/>
        <w:topLinePunct w:val="0"/>
        <w:autoSpaceDE/>
        <w:autoSpaceDN/>
        <w:bidi w:val="0"/>
        <w:spacing w:after="0" w:line="500" w:lineRule="exact"/>
        <w:ind w:firstLine="480" w:firstLineChars="200"/>
        <w:jc w:val="left"/>
        <w:rPr>
          <w:color w:val="auto"/>
          <w:highlight w:val="none"/>
        </w:rPr>
      </w:pPr>
      <w:r>
        <w:rPr>
          <w:rFonts w:hint="eastAsia" w:ascii="宋体" w:hAnsi="宋体" w:cs="宋体"/>
          <w:color w:val="auto"/>
          <w:sz w:val="24"/>
          <w:highlight w:val="none"/>
        </w:rPr>
        <w:t>5、采购需求（包括但不限于标的的名称、数量、简要技术需求或服务要求等）</w:t>
      </w:r>
    </w:p>
    <w:p w14:paraId="3D966A07">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bookmarkStart w:id="11" w:name="_Toc28359003"/>
      <w:bookmarkStart w:id="12" w:name="_Toc35393622"/>
      <w:bookmarkStart w:id="13" w:name="_Toc35393791"/>
      <w:bookmarkStart w:id="14" w:name="_Toc28359080"/>
      <w:r>
        <w:rPr>
          <w:rFonts w:hint="eastAsia" w:ascii="宋体" w:hAnsi="宋体" w:cs="宋体"/>
          <w:color w:val="auto"/>
          <w:sz w:val="24"/>
          <w:highlight w:val="none"/>
        </w:rPr>
        <w:t>5.1采购需求：具体详见采购人提供的采购清单；</w:t>
      </w:r>
    </w:p>
    <w:p w14:paraId="4E6E720C">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5.2 质量要求：合格，符合国家相关标准和规范要求，满足项目采购需求；</w:t>
      </w:r>
    </w:p>
    <w:p w14:paraId="7E1A1896">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6、合同履行期限（服务期限）：升级改造完成，调试运行正常并验收合格后3年；</w:t>
      </w:r>
    </w:p>
    <w:p w14:paraId="4A2E37B7">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7、是否接受进口产品：否</w:t>
      </w:r>
    </w:p>
    <w:p w14:paraId="6A1C3FD2">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8、本项目是否接受联合体投标：否</w:t>
      </w:r>
    </w:p>
    <w:p w14:paraId="58C93B0C">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9、本项目是否为只面向中小企业采购：否</w:t>
      </w:r>
    </w:p>
    <w:p w14:paraId="3AEB1A72">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二、申请人的资格要求：</w:t>
      </w:r>
      <w:bookmarkEnd w:id="11"/>
      <w:bookmarkEnd w:id="12"/>
      <w:bookmarkEnd w:id="13"/>
      <w:bookmarkEnd w:id="14"/>
    </w:p>
    <w:p w14:paraId="68624E25">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1、满足《中华人民共和国政府采购法》第二十二条规定</w:t>
      </w:r>
      <w:r>
        <w:rPr>
          <w:rFonts w:hint="eastAsia" w:ascii="宋体" w:hAnsi="宋体" w:cs="宋体"/>
          <w:color w:val="auto"/>
          <w:sz w:val="24"/>
          <w:highlight w:val="none"/>
          <w:lang w:eastAsia="zh-CN"/>
        </w:rPr>
        <w:t>：</w:t>
      </w:r>
    </w:p>
    <w:p w14:paraId="1E5CCD44">
      <w:pPr>
        <w:pStyle w:val="18"/>
        <w:pageBreakBefore w:val="0"/>
        <w:kinsoku/>
        <w:wordWrap/>
        <w:overflowPunct/>
        <w:topLinePunct w:val="0"/>
        <w:autoSpaceDE/>
        <w:autoSpaceDN/>
        <w:bidi w:val="0"/>
        <w:adjustRightInd w:val="0"/>
        <w:snapToGrid w:val="0"/>
        <w:spacing w:after="0" w:line="500" w:lineRule="exact"/>
        <w:ind w:firstLine="480" w:firstLineChars="200"/>
        <w:rPr>
          <w:rFonts w:hint="eastAsia" w:hAnsi="宋体" w:eastAsia="宋体" w:cs="宋体"/>
          <w:color w:val="auto"/>
          <w:sz w:val="24"/>
          <w:highlight w:val="none"/>
          <w:lang w:eastAsia="zh-CN"/>
        </w:rPr>
      </w:pPr>
      <w:r>
        <w:rPr>
          <w:rFonts w:hint="eastAsia" w:hAnsi="宋体" w:cs="宋体"/>
          <w:color w:val="auto"/>
          <w:sz w:val="24"/>
          <w:highlight w:val="none"/>
        </w:rPr>
        <w:t>（1）投标人须为在中华人民共和国境内注册的具有独立承担民事责任能力的法人或其他组织（如果参与投标的</w:t>
      </w:r>
      <w:r>
        <w:rPr>
          <w:rFonts w:hint="eastAsia" w:hAnsi="宋体" w:cs="宋体"/>
          <w:color w:val="auto"/>
          <w:sz w:val="24"/>
          <w:highlight w:val="none"/>
          <w:lang w:eastAsia="zh-CN"/>
        </w:rPr>
        <w:t>投标人</w:t>
      </w:r>
      <w:r>
        <w:rPr>
          <w:rFonts w:hint="eastAsia" w:hAnsi="宋体" w:cs="宋体"/>
          <w:color w:val="auto"/>
          <w:sz w:val="24"/>
          <w:highlight w:val="none"/>
        </w:rPr>
        <w:t>为分公司则须</w:t>
      </w:r>
      <w:r>
        <w:rPr>
          <w:rFonts w:hint="eastAsia" w:hAnsi="宋体" w:cs="宋体"/>
          <w:color w:val="auto"/>
          <w:sz w:val="24"/>
          <w:highlight w:val="none"/>
          <w:lang w:val="en-US" w:eastAsia="zh-CN"/>
        </w:rPr>
        <w:t>取得相应的授权</w:t>
      </w:r>
      <w:r>
        <w:rPr>
          <w:rFonts w:hint="eastAsia" w:hAnsi="宋体" w:cs="宋体"/>
          <w:color w:val="auto"/>
          <w:sz w:val="24"/>
          <w:highlight w:val="none"/>
        </w:rPr>
        <w:t>且授权书载明</w:t>
      </w:r>
      <w:r>
        <w:rPr>
          <w:rFonts w:hint="eastAsia" w:hAnsi="宋体" w:cs="宋体"/>
          <w:color w:val="auto"/>
          <w:sz w:val="24"/>
          <w:highlight w:val="none"/>
          <w:lang w:val="en-US" w:eastAsia="zh-CN"/>
        </w:rPr>
        <w:t>授权范围，</w:t>
      </w:r>
      <w:r>
        <w:rPr>
          <w:rFonts w:hint="eastAsia" w:hAnsi="宋体" w:cs="宋体"/>
          <w:color w:val="auto"/>
          <w:sz w:val="24"/>
          <w:highlight w:val="none"/>
        </w:rPr>
        <w:t>不接受同一总公司授权两家或以上分公司同时参与本项目投标，也不接受总公司与分公司同时参与本项目投标。个体工商户参与投标的需注明经营者信息。</w:t>
      </w:r>
      <w:r>
        <w:rPr>
          <w:rFonts w:hint="eastAsia" w:hAnsi="宋体" w:cs="宋体"/>
          <w:color w:val="auto"/>
          <w:sz w:val="24"/>
          <w:highlight w:val="none"/>
          <w:lang w:eastAsia="zh-CN"/>
        </w:rPr>
        <w:t>）</w:t>
      </w:r>
      <w:r>
        <w:rPr>
          <w:rFonts w:hint="eastAsia" w:hAnsi="宋体" w:cs="宋体"/>
          <w:color w:val="auto"/>
          <w:sz w:val="24"/>
          <w:highlight w:val="none"/>
        </w:rPr>
        <w:t>。</w:t>
      </w:r>
    </w:p>
    <w:p w14:paraId="693B6BCA">
      <w:pPr>
        <w:pStyle w:val="18"/>
        <w:pageBreakBefore w:val="0"/>
        <w:kinsoku/>
        <w:wordWrap/>
        <w:overflowPunct/>
        <w:topLinePunct w:val="0"/>
        <w:autoSpaceDE/>
        <w:autoSpaceDN/>
        <w:bidi w:val="0"/>
        <w:adjustRightInd w:val="0"/>
        <w:snapToGrid w:val="0"/>
        <w:spacing w:after="0" w:line="500" w:lineRule="exact"/>
        <w:ind w:firstLine="480" w:firstLineChars="200"/>
        <w:rPr>
          <w:rFonts w:hint="eastAsia" w:hAnsi="宋体" w:cs="宋体"/>
          <w:color w:val="auto"/>
          <w:sz w:val="24"/>
          <w:highlight w:val="none"/>
        </w:rPr>
      </w:pPr>
      <w:r>
        <w:rPr>
          <w:rFonts w:hint="eastAsia" w:hAnsi="宋体" w:cs="宋体"/>
          <w:color w:val="auto"/>
          <w:sz w:val="24"/>
          <w:highlight w:val="none"/>
        </w:rPr>
        <w:t>（2）具有良好的商业信誉和健全的财务会计制度；</w:t>
      </w:r>
    </w:p>
    <w:p w14:paraId="27A3062B">
      <w:pPr>
        <w:pStyle w:val="18"/>
        <w:pageBreakBefore w:val="0"/>
        <w:kinsoku/>
        <w:wordWrap/>
        <w:overflowPunct/>
        <w:topLinePunct w:val="0"/>
        <w:autoSpaceDE/>
        <w:autoSpaceDN/>
        <w:bidi w:val="0"/>
        <w:adjustRightInd w:val="0"/>
        <w:snapToGrid w:val="0"/>
        <w:spacing w:after="0" w:line="500" w:lineRule="exact"/>
        <w:ind w:firstLine="480" w:firstLineChars="200"/>
        <w:rPr>
          <w:rFonts w:hint="eastAsia" w:hAnsi="宋体" w:cs="宋体"/>
          <w:color w:val="auto"/>
          <w:sz w:val="24"/>
          <w:highlight w:val="none"/>
        </w:rPr>
      </w:pPr>
      <w:r>
        <w:rPr>
          <w:rFonts w:hint="eastAsia" w:hAnsi="宋体" w:cs="宋体"/>
          <w:color w:val="auto"/>
          <w:sz w:val="24"/>
          <w:highlight w:val="none"/>
        </w:rPr>
        <w:t>（3）具有履行合同所必需的设备和专业技术能力；</w:t>
      </w:r>
    </w:p>
    <w:p w14:paraId="343054AC">
      <w:pPr>
        <w:pStyle w:val="18"/>
        <w:pageBreakBefore w:val="0"/>
        <w:kinsoku/>
        <w:wordWrap/>
        <w:overflowPunct/>
        <w:topLinePunct w:val="0"/>
        <w:autoSpaceDE/>
        <w:autoSpaceDN/>
        <w:bidi w:val="0"/>
        <w:adjustRightInd w:val="0"/>
        <w:snapToGrid w:val="0"/>
        <w:spacing w:after="0" w:line="500" w:lineRule="exact"/>
        <w:ind w:firstLine="480" w:firstLineChars="200"/>
        <w:rPr>
          <w:rFonts w:hint="eastAsia" w:hAnsi="宋体" w:cs="宋体"/>
          <w:color w:val="auto"/>
          <w:sz w:val="24"/>
          <w:highlight w:val="none"/>
        </w:rPr>
      </w:pPr>
      <w:r>
        <w:rPr>
          <w:rFonts w:hint="eastAsia" w:hAnsi="宋体" w:cs="宋体"/>
          <w:color w:val="auto"/>
          <w:sz w:val="24"/>
          <w:highlight w:val="none"/>
        </w:rPr>
        <w:t>（4）有依法缴纳税收和社会保障资金的良好记录（缴纳的税收凭据、社会保险凭据，依法免税或不需要缴纳社会保障资金的</w:t>
      </w:r>
      <w:r>
        <w:rPr>
          <w:rFonts w:hint="eastAsia" w:hAnsi="宋体" w:cs="宋体"/>
          <w:color w:val="auto"/>
          <w:sz w:val="24"/>
          <w:highlight w:val="none"/>
          <w:lang w:eastAsia="zh-CN"/>
        </w:rPr>
        <w:t>投标人</w:t>
      </w:r>
      <w:r>
        <w:rPr>
          <w:rFonts w:hint="eastAsia" w:hAnsi="宋体" w:cs="宋体"/>
          <w:color w:val="auto"/>
          <w:sz w:val="24"/>
          <w:highlight w:val="none"/>
        </w:rPr>
        <w:t>应提供相应的证明文件）；</w:t>
      </w:r>
    </w:p>
    <w:p w14:paraId="3D2D150A">
      <w:pPr>
        <w:pStyle w:val="18"/>
        <w:pageBreakBefore w:val="0"/>
        <w:kinsoku/>
        <w:wordWrap/>
        <w:overflowPunct/>
        <w:topLinePunct w:val="0"/>
        <w:autoSpaceDE/>
        <w:autoSpaceDN/>
        <w:bidi w:val="0"/>
        <w:adjustRightInd w:val="0"/>
        <w:snapToGrid w:val="0"/>
        <w:spacing w:after="0" w:line="500" w:lineRule="exact"/>
        <w:ind w:firstLine="480" w:firstLineChars="200"/>
        <w:rPr>
          <w:rFonts w:hint="eastAsia" w:hAnsi="宋体" w:cs="宋体"/>
          <w:color w:val="auto"/>
          <w:sz w:val="24"/>
          <w:highlight w:val="none"/>
        </w:rPr>
      </w:pPr>
      <w:r>
        <w:rPr>
          <w:rFonts w:hint="eastAsia" w:hAnsi="宋体" w:cs="宋体"/>
          <w:color w:val="auto"/>
          <w:sz w:val="24"/>
          <w:highlight w:val="none"/>
        </w:rPr>
        <w:t>（5）参加政府采购活动前三年内，在经营活动中没有重大违法记录（提供没有重大违法记录的书面声明函，格式自拟）；</w:t>
      </w:r>
    </w:p>
    <w:p w14:paraId="058CF036">
      <w:pPr>
        <w:pStyle w:val="18"/>
        <w:pageBreakBefore w:val="0"/>
        <w:kinsoku/>
        <w:wordWrap/>
        <w:overflowPunct/>
        <w:topLinePunct w:val="0"/>
        <w:autoSpaceDE/>
        <w:autoSpaceDN/>
        <w:bidi w:val="0"/>
        <w:adjustRightInd w:val="0"/>
        <w:snapToGrid w:val="0"/>
        <w:spacing w:after="0" w:line="500" w:lineRule="exact"/>
        <w:ind w:firstLine="480" w:firstLineChars="200"/>
        <w:rPr>
          <w:color w:val="auto"/>
          <w:highlight w:val="none"/>
        </w:rPr>
      </w:pPr>
      <w:r>
        <w:rPr>
          <w:rFonts w:hint="eastAsia" w:hAnsi="宋体" w:cs="宋体"/>
          <w:color w:val="auto"/>
          <w:sz w:val="24"/>
          <w:highlight w:val="none"/>
        </w:rPr>
        <w:t>（6）法律、行政法规规定的其他条件。</w:t>
      </w:r>
    </w:p>
    <w:p w14:paraId="0AE7F75A">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bookmarkStart w:id="15" w:name="_Toc28359004"/>
      <w:bookmarkStart w:id="16" w:name="_Toc28359081"/>
      <w:r>
        <w:rPr>
          <w:rFonts w:hint="eastAsia" w:ascii="宋体" w:hAnsi="宋体" w:cs="宋体"/>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2、落实政府采购政策需满足的资格要求：促进中小企业和监狱企业发展扶持政策、政府强制采购节能产品强制采购、节能产品及环境标志产品优先采购、促进残疾人就业政府采购政策等。  </w:t>
      </w:r>
    </w:p>
    <w:p w14:paraId="0008DFDC">
      <w:pPr>
        <w:pageBreakBefore w:val="0"/>
        <w:numPr>
          <w:ilvl w:val="255"/>
          <w:numId w:val="0"/>
        </w:numPr>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3、本项目的特定资格要求：</w:t>
      </w:r>
    </w:p>
    <w:p w14:paraId="6F80BC2F">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bookmarkStart w:id="17" w:name="_Toc35393623"/>
      <w:bookmarkStart w:id="18" w:name="_Toc35393792"/>
      <w:r>
        <w:rPr>
          <w:rFonts w:hint="eastAsia" w:ascii="宋体" w:hAnsi="宋体" w:cs="宋体"/>
          <w:color w:val="auto"/>
          <w:sz w:val="24"/>
          <w:highlight w:val="none"/>
        </w:rPr>
        <w:t>根据《关于在政府采购活动中查询及使用信用记录有关问题的通知》(财库[2016]125号)和豫财购【2016】15号的规定，对列入“信用中国”网站（</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HYPERLINK "http://www.creditchina.gov.cn/"</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www.creditchina.gov.cn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）的“失信被执行人”、“重大税收违法案件当事人名单（重大税收违法失信主体）”的</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和法定代表人</w:t>
      </w:r>
      <w:r>
        <w:rPr>
          <w:rFonts w:hint="eastAsia" w:ascii="宋体" w:hAnsi="宋体" w:cs="宋体"/>
          <w:color w:val="auto"/>
          <w:sz w:val="24"/>
          <w:highlight w:val="none"/>
          <w:lang w:eastAsia="zh-CN"/>
        </w:rPr>
        <w:t>（</w:t>
      </w:r>
      <w:r>
        <w:rPr>
          <w:rFonts w:hint="eastAsia" w:ascii="宋体" w:hAnsi="宋体" w:cs="宋体"/>
          <w:color w:val="auto"/>
          <w:sz w:val="24"/>
          <w:highlight w:val="none"/>
        </w:rPr>
        <w:t>或负责人</w:t>
      </w:r>
      <w:r>
        <w:rPr>
          <w:rFonts w:hint="eastAsia" w:ascii="宋体" w:hAnsi="宋体" w:cs="宋体"/>
          <w:color w:val="auto"/>
          <w:sz w:val="24"/>
          <w:highlight w:val="none"/>
          <w:lang w:eastAsia="zh-CN"/>
        </w:rPr>
        <w:t>）</w:t>
      </w:r>
      <w:r>
        <w:rPr>
          <w:rFonts w:hint="eastAsia" w:ascii="宋体" w:hAnsi="宋体" w:cs="宋体"/>
          <w:color w:val="auto"/>
          <w:sz w:val="24"/>
          <w:highlight w:val="none"/>
        </w:rPr>
        <w:t>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，将拒绝其参加政府采购活动；在标书中附加盖公章的网页查询扫描件，查询日期为公告发布之日起至投标截止之日止。</w:t>
      </w:r>
    </w:p>
    <w:p w14:paraId="38C038EF">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三、获取招标文件</w:t>
      </w:r>
      <w:bookmarkEnd w:id="15"/>
      <w:bookmarkEnd w:id="16"/>
      <w:bookmarkEnd w:id="17"/>
      <w:bookmarkEnd w:id="18"/>
    </w:p>
    <w:p w14:paraId="4154F2A1">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时间：2025年</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日至2025年</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日，每天上午00:00至12:00，下午12:00至23:59（北京时间，法定节假日除外。）</w:t>
      </w:r>
    </w:p>
    <w:p w14:paraId="72ECE11A">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0484A1C1">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方式：</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请在网站自主注册后下载采购文件（zkzf格式）及资料，需办理CA数字证书后方可提交投标文件，具体办理事宜请查阅周口市公共资源交易中心网站。</w:t>
      </w:r>
    </w:p>
    <w:p w14:paraId="6F3E0D9A">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售价：0</w:t>
      </w:r>
    </w:p>
    <w:p w14:paraId="3A9CB865">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bookmarkStart w:id="19" w:name="_Toc28359082"/>
      <w:bookmarkStart w:id="20" w:name="_Toc28359005"/>
      <w:bookmarkStart w:id="21" w:name="_Toc35393624"/>
      <w:bookmarkStart w:id="22" w:name="_Toc35393793"/>
      <w:r>
        <w:rPr>
          <w:rFonts w:hint="eastAsia" w:ascii="宋体" w:hAnsi="宋体" w:cs="宋体"/>
          <w:color w:val="auto"/>
          <w:sz w:val="24"/>
          <w:highlight w:val="none"/>
        </w:rPr>
        <w:t>四、提交投标文件</w:t>
      </w:r>
      <w:bookmarkEnd w:id="19"/>
      <w:bookmarkEnd w:id="20"/>
      <w:r>
        <w:rPr>
          <w:rFonts w:hint="eastAsia" w:ascii="宋体" w:hAnsi="宋体" w:cs="宋体"/>
          <w:color w:val="auto"/>
          <w:sz w:val="24"/>
          <w:highlight w:val="none"/>
        </w:rPr>
        <w:t>截止时间、开标时间和地点</w:t>
      </w:r>
      <w:bookmarkEnd w:id="21"/>
      <w:bookmarkEnd w:id="22"/>
    </w:p>
    <w:p w14:paraId="295AC074">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时间：2025年</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29</w:t>
      </w:r>
      <w:r>
        <w:rPr>
          <w:rFonts w:hint="eastAsia" w:ascii="宋体" w:hAnsi="宋体" w:cs="宋体"/>
          <w:color w:val="auto"/>
          <w:sz w:val="24"/>
          <w:highlight w:val="none"/>
        </w:rPr>
        <w:t>日10点00分（北京时间）</w:t>
      </w:r>
    </w:p>
    <w:p w14:paraId="1995D9BD">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地点：周口市公共资源交易中心开标室</w:t>
      </w:r>
    </w:p>
    <w:p w14:paraId="24CEF8F6">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bookmarkStart w:id="23" w:name="_Toc28359007"/>
      <w:bookmarkStart w:id="24" w:name="_Toc28359084"/>
      <w:bookmarkStart w:id="25" w:name="_Toc35393794"/>
      <w:bookmarkStart w:id="26" w:name="_Toc35393625"/>
      <w:r>
        <w:rPr>
          <w:rFonts w:hint="eastAsia" w:ascii="宋体" w:hAnsi="宋体" w:cs="宋体"/>
          <w:color w:val="auto"/>
          <w:sz w:val="24"/>
          <w:highlight w:val="none"/>
        </w:rPr>
        <w:t>五、公告期限</w:t>
      </w:r>
      <w:bookmarkEnd w:id="23"/>
      <w:bookmarkEnd w:id="24"/>
      <w:bookmarkEnd w:id="25"/>
      <w:bookmarkEnd w:id="26"/>
    </w:p>
    <w:p w14:paraId="3331ABEB">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自本公告发布之日起5个工作日。</w:t>
      </w:r>
    </w:p>
    <w:p w14:paraId="139D12D7">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bookmarkStart w:id="27" w:name="_Toc35393795"/>
      <w:bookmarkStart w:id="28" w:name="_Toc35393626"/>
      <w:r>
        <w:rPr>
          <w:rFonts w:hint="eastAsia" w:ascii="宋体" w:hAnsi="宋体" w:cs="宋体"/>
          <w:color w:val="auto"/>
          <w:sz w:val="24"/>
          <w:highlight w:val="none"/>
        </w:rPr>
        <w:t>六、其他补充事宜</w:t>
      </w:r>
      <w:bookmarkEnd w:id="27"/>
      <w:bookmarkEnd w:id="28"/>
    </w:p>
    <w:p w14:paraId="0BE88BFD">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bookmarkStart w:id="29" w:name="_Toc28359085"/>
      <w:bookmarkStart w:id="30" w:name="_Toc35393627"/>
      <w:bookmarkStart w:id="31" w:name="_Toc28359008"/>
      <w:bookmarkStart w:id="32" w:name="_Toc35393796"/>
      <w:r>
        <w:rPr>
          <w:rFonts w:hint="eastAsia" w:ascii="宋体" w:hAnsi="宋体" w:cs="宋体"/>
          <w:color w:val="auto"/>
          <w:sz w:val="24"/>
          <w:highlight w:val="none"/>
        </w:rPr>
        <w:t>无</w:t>
      </w:r>
    </w:p>
    <w:p w14:paraId="734F2021">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七、对本次招标提出询问，请按以下方式联系。</w:t>
      </w:r>
      <w:bookmarkEnd w:id="29"/>
      <w:bookmarkEnd w:id="30"/>
      <w:bookmarkEnd w:id="31"/>
      <w:bookmarkEnd w:id="32"/>
    </w:p>
    <w:p w14:paraId="3D908D2C">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1、采购人信息</w:t>
      </w:r>
    </w:p>
    <w:p w14:paraId="6D849C23">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称：周口市公安局    　　　　　　　　　　　　</w:t>
      </w:r>
    </w:p>
    <w:p w14:paraId="1366CBAD">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地址：周口市光明路与政通路交叉口　　　　　　　　　　　</w:t>
      </w:r>
    </w:p>
    <w:p w14:paraId="69A0611F">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项目联系人：张登辉</w:t>
      </w:r>
    </w:p>
    <w:p w14:paraId="48BAC1B8">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18539726686</w:t>
      </w:r>
      <w:r>
        <w:rPr>
          <w:rFonts w:hint="eastAsia" w:ascii="宋体" w:hAnsi="宋体" w:cs="宋体"/>
          <w:color w:val="auto"/>
          <w:sz w:val="24"/>
          <w:highlight w:val="none"/>
        </w:rPr>
        <w:t xml:space="preserve">　　　　　　　　　　 </w:t>
      </w:r>
      <w:bookmarkStart w:id="33" w:name="_Toc28359086"/>
      <w:bookmarkStart w:id="34" w:name="_Toc28359009"/>
    </w:p>
    <w:p w14:paraId="3FA6996B">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2、采购代理机构信息</w:t>
      </w:r>
      <w:bookmarkEnd w:id="33"/>
      <w:bookmarkEnd w:id="34"/>
    </w:p>
    <w:p w14:paraId="75587516">
      <w:pPr>
        <w:pStyle w:val="18"/>
        <w:pageBreakBefore w:val="0"/>
        <w:kinsoku/>
        <w:wordWrap/>
        <w:overflowPunct/>
        <w:topLinePunct w:val="0"/>
        <w:autoSpaceDE/>
        <w:autoSpaceDN/>
        <w:bidi w:val="0"/>
        <w:adjustRightInd w:val="0"/>
        <w:snapToGrid w:val="0"/>
        <w:spacing w:after="0" w:line="500" w:lineRule="exact"/>
        <w:ind w:firstLine="480" w:firstLineChars="200"/>
        <w:rPr>
          <w:rFonts w:hint="eastAsia" w:hAnsi="宋体" w:cs="宋体"/>
          <w:color w:val="auto"/>
          <w:sz w:val="24"/>
          <w:highlight w:val="none"/>
        </w:rPr>
      </w:pPr>
      <w:r>
        <w:rPr>
          <w:rFonts w:hint="eastAsia" w:hAnsi="宋体" w:cs="宋体"/>
          <w:color w:val="auto"/>
          <w:sz w:val="24"/>
          <w:highlight w:val="none"/>
        </w:rPr>
        <w:t>名 称：周口市公共资源交易中心政府采购中心　　　　　　　　　　　　</w:t>
      </w:r>
    </w:p>
    <w:p w14:paraId="5D90B750">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p w14:paraId="13D56EAD">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项目联系人：王硕       联系方式：</w:t>
      </w:r>
      <w:bookmarkStart w:id="35" w:name="_Toc28359010"/>
      <w:bookmarkStart w:id="36" w:name="_Toc28359087"/>
      <w:r>
        <w:rPr>
          <w:rFonts w:hint="eastAsia" w:ascii="宋体" w:hAnsi="宋体" w:cs="宋体"/>
          <w:color w:val="auto"/>
          <w:sz w:val="24"/>
          <w:highlight w:val="none"/>
        </w:rPr>
        <w:t>0394-8106517、13525741688　　　　　　　　</w:t>
      </w:r>
      <w:bookmarkEnd w:id="35"/>
      <w:bookmarkEnd w:id="36"/>
    </w:p>
    <w:p w14:paraId="7E03AAED">
      <w:pPr>
        <w:pageBreakBefore w:val="0"/>
        <w:kinsoku/>
        <w:wordWrap/>
        <w:overflowPunct/>
        <w:topLinePunct w:val="0"/>
        <w:autoSpaceDE/>
        <w:autoSpaceDN/>
        <w:bidi w:val="0"/>
        <w:spacing w:after="0"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3、监督单位：周口市财政局政府采购监督管理科</w:t>
      </w:r>
    </w:p>
    <w:p w14:paraId="6F160AED">
      <w:pPr>
        <w:pStyle w:val="2"/>
        <w:pageBreakBefore w:val="0"/>
        <w:kinsoku/>
        <w:wordWrap/>
        <w:overflowPunct/>
        <w:topLinePunct w:val="0"/>
        <w:autoSpaceDE/>
        <w:autoSpaceDN/>
        <w:bidi w:val="0"/>
        <w:spacing w:after="0"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联系方式：0394-8106976  </w:t>
      </w:r>
    </w:p>
    <w:p w14:paraId="141F302E">
      <w:pPr>
        <w:pStyle w:val="2"/>
        <w:pageBreakBefore w:val="0"/>
        <w:kinsoku/>
        <w:wordWrap/>
        <w:overflowPunct/>
        <w:topLinePunct w:val="0"/>
        <w:autoSpaceDE/>
        <w:autoSpaceDN/>
        <w:bidi w:val="0"/>
        <w:spacing w:after="0" w:line="500" w:lineRule="exact"/>
        <w:ind w:firstLine="480" w:firstLineChars="200"/>
        <w:rPr>
          <w:rFonts w:hint="eastAsia" w:ascii="宋体" w:hAnsi="宋体" w:cs="宋体"/>
          <w:color w:val="auto"/>
          <w:sz w:val="24"/>
          <w:highlight w:val="none"/>
        </w:rPr>
      </w:pPr>
    </w:p>
    <w:p w14:paraId="6CC4A182">
      <w:pPr>
        <w:pStyle w:val="2"/>
        <w:pageBreakBefore w:val="0"/>
        <w:kinsoku/>
        <w:wordWrap/>
        <w:overflowPunct/>
        <w:topLinePunct w:val="0"/>
        <w:autoSpaceDE/>
        <w:autoSpaceDN/>
        <w:bidi w:val="0"/>
        <w:spacing w:after="0" w:line="500" w:lineRule="exact"/>
        <w:ind w:firstLine="480" w:firstLineChars="200"/>
        <w:rPr>
          <w:rFonts w:hint="eastAsia" w:ascii="宋体" w:hAnsi="宋体" w:cs="宋体"/>
          <w:color w:val="auto"/>
          <w:sz w:val="24"/>
          <w:highlight w:val="none"/>
        </w:rPr>
      </w:pPr>
    </w:p>
    <w:p w14:paraId="3BAE11B2">
      <w:pPr>
        <w:pStyle w:val="2"/>
        <w:pageBreakBefore w:val="0"/>
        <w:kinsoku/>
        <w:wordWrap/>
        <w:overflowPunct/>
        <w:topLinePunct w:val="0"/>
        <w:autoSpaceDE/>
        <w:autoSpaceDN/>
        <w:bidi w:val="0"/>
        <w:spacing w:after="0" w:line="500" w:lineRule="exact"/>
        <w:ind w:firstLineChars="200"/>
        <w:rPr>
          <w:color w:val="auto"/>
          <w:highlight w:val="none"/>
        </w:rPr>
      </w:pPr>
    </w:p>
    <w:p w14:paraId="1FE9AD36">
      <w:pPr>
        <w:pStyle w:val="18"/>
        <w:pageBreakBefore w:val="0"/>
        <w:kinsoku/>
        <w:wordWrap/>
        <w:overflowPunct/>
        <w:topLinePunct w:val="0"/>
        <w:autoSpaceDE/>
        <w:autoSpaceDN/>
        <w:bidi w:val="0"/>
        <w:adjustRightInd w:val="0"/>
        <w:snapToGrid w:val="0"/>
        <w:spacing w:after="0" w:line="500" w:lineRule="exact"/>
        <w:ind w:firstLine="4800" w:firstLineChars="2000"/>
        <w:rPr>
          <w:rFonts w:hint="eastAsia" w:hAnsi="宋体" w:cs="宋体"/>
          <w:color w:val="auto"/>
          <w:sz w:val="24"/>
          <w:highlight w:val="none"/>
        </w:rPr>
      </w:pPr>
      <w:r>
        <w:rPr>
          <w:rFonts w:hint="eastAsia" w:hAnsi="宋体" w:cs="宋体"/>
          <w:color w:val="auto"/>
          <w:sz w:val="24"/>
          <w:highlight w:val="none"/>
        </w:rPr>
        <w:t>周口市公共资源交易中心政府采购中心</w:t>
      </w:r>
    </w:p>
    <w:p w14:paraId="62A6B866">
      <w:pPr>
        <w:pStyle w:val="30"/>
        <w:pageBreakBefore w:val="0"/>
        <w:kinsoku/>
        <w:wordWrap/>
        <w:overflowPunct/>
        <w:topLinePunct w:val="0"/>
        <w:autoSpaceDE/>
        <w:autoSpaceDN/>
        <w:bidi w:val="0"/>
        <w:adjustRightInd w:val="0"/>
        <w:spacing w:after="0" w:line="500" w:lineRule="exact"/>
        <w:ind w:firstLine="5760" w:firstLineChars="2400"/>
        <w:rPr>
          <w:rFonts w:hint="eastAsia" w:ascii="宋体" w:hAnsi="宋体" w:cs="宋体"/>
          <w:color w:val="auto"/>
          <w:highlight w:val="none"/>
        </w:rPr>
      </w:pPr>
      <w:r>
        <w:rPr>
          <w:rFonts w:hint="eastAsia" w:ascii="宋体" w:hAnsi="宋体" w:cs="宋体"/>
          <w:color w:val="auto"/>
          <w:sz w:val="24"/>
          <w:highlight w:val="none"/>
        </w:rPr>
        <w:t>2025年</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日　　</w:t>
      </w:r>
    </w:p>
    <w:p w14:paraId="30FCFB58">
      <w:pPr>
        <w:pStyle w:val="4"/>
        <w:pageBreakBefore/>
        <w:spacing w:line="360" w:lineRule="auto"/>
        <w:jc w:val="center"/>
        <w:rPr>
          <w:color w:val="auto"/>
          <w:highlight w:val="none"/>
        </w:rPr>
      </w:pPr>
      <w:bookmarkStart w:id="37" w:name="_Hlt510343011"/>
      <w:bookmarkStart w:id="38" w:name="_Hlt510342998"/>
      <w:bookmarkStart w:id="39" w:name="_Toc873"/>
      <w:bookmarkStart w:id="40" w:name="_Toc7329_WPSOffice_Level1"/>
      <w:r>
        <w:rPr>
          <w:rFonts w:hint="eastAsia"/>
          <w:color w:val="auto"/>
          <w:highlight w:val="none"/>
        </w:rPr>
        <w:t>第二章 投标人须</w:t>
      </w:r>
      <w:bookmarkEnd w:id="37"/>
      <w:r>
        <w:rPr>
          <w:rFonts w:hint="eastAsia"/>
          <w:color w:val="auto"/>
          <w:highlight w:val="none"/>
        </w:rPr>
        <w:t>知前</w:t>
      </w:r>
      <w:bookmarkEnd w:id="38"/>
      <w:r>
        <w:rPr>
          <w:rFonts w:hint="eastAsia"/>
          <w:color w:val="auto"/>
          <w:highlight w:val="none"/>
        </w:rPr>
        <w:t>附表</w:t>
      </w:r>
      <w:bookmarkEnd w:id="39"/>
      <w:bookmarkEnd w:id="40"/>
    </w:p>
    <w:tbl>
      <w:tblPr>
        <w:tblStyle w:val="35"/>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56B7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vAlign w:val="center"/>
          </w:tcPr>
          <w:p w14:paraId="74433416">
            <w:pPr>
              <w:rPr>
                <w:rFonts w:hint="eastAsia" w:ascii="宋体" w:hAnsi="宋体" w:cs="宋体"/>
                <w:color w:val="auto"/>
                <w:sz w:val="24"/>
                <w:highlight w:val="none"/>
              </w:rPr>
            </w:pPr>
            <w:r>
              <w:rPr>
                <w:rFonts w:hint="eastAsia" w:ascii="宋体" w:hAnsi="宋体" w:cs="宋体"/>
                <w:color w:val="auto"/>
                <w:sz w:val="24"/>
                <w:highlight w:val="none"/>
              </w:rPr>
              <w:t>序号</w:t>
            </w:r>
          </w:p>
        </w:tc>
        <w:tc>
          <w:tcPr>
            <w:tcW w:w="2833" w:type="dxa"/>
            <w:vAlign w:val="center"/>
          </w:tcPr>
          <w:p w14:paraId="51321705">
            <w:pPr>
              <w:rPr>
                <w:rFonts w:hint="eastAsia" w:ascii="宋体" w:hAnsi="宋体" w:cs="宋体"/>
                <w:color w:val="auto"/>
                <w:sz w:val="24"/>
                <w:highlight w:val="none"/>
              </w:rPr>
            </w:pPr>
            <w:r>
              <w:rPr>
                <w:rFonts w:hint="eastAsia" w:ascii="宋体" w:hAnsi="宋体" w:cs="宋体"/>
                <w:color w:val="auto"/>
                <w:sz w:val="24"/>
                <w:highlight w:val="none"/>
              </w:rPr>
              <w:t>内容</w:t>
            </w:r>
          </w:p>
        </w:tc>
        <w:tc>
          <w:tcPr>
            <w:tcW w:w="6519" w:type="dxa"/>
            <w:vAlign w:val="center"/>
          </w:tcPr>
          <w:p w14:paraId="09A9EB5E">
            <w:pPr>
              <w:rPr>
                <w:rFonts w:hint="eastAsia" w:ascii="宋体" w:hAnsi="宋体" w:cs="宋体"/>
                <w:color w:val="auto"/>
                <w:sz w:val="24"/>
                <w:highlight w:val="none"/>
              </w:rPr>
            </w:pPr>
            <w:r>
              <w:rPr>
                <w:rFonts w:hint="eastAsia" w:ascii="宋体" w:hAnsi="宋体" w:cs="宋体"/>
                <w:color w:val="auto"/>
                <w:sz w:val="24"/>
                <w:highlight w:val="none"/>
              </w:rPr>
              <w:t>说明与要求</w:t>
            </w:r>
          </w:p>
        </w:tc>
      </w:tr>
      <w:tr w14:paraId="01C42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vAlign w:val="center"/>
          </w:tcPr>
          <w:p w14:paraId="4D226256">
            <w:pPr>
              <w:rPr>
                <w:rFonts w:hint="eastAsia" w:ascii="宋体" w:hAnsi="宋体" w:cs="宋体"/>
                <w:color w:val="auto"/>
                <w:sz w:val="24"/>
                <w:highlight w:val="none"/>
              </w:rPr>
            </w:pPr>
            <w:r>
              <w:rPr>
                <w:rFonts w:hint="eastAsia" w:ascii="宋体" w:hAnsi="宋体" w:cs="宋体"/>
                <w:color w:val="auto"/>
                <w:sz w:val="24"/>
                <w:highlight w:val="none"/>
              </w:rPr>
              <w:t>1</w:t>
            </w:r>
          </w:p>
        </w:tc>
        <w:tc>
          <w:tcPr>
            <w:tcW w:w="2833" w:type="dxa"/>
            <w:vAlign w:val="center"/>
          </w:tcPr>
          <w:p w14:paraId="3B2369BD">
            <w:pPr>
              <w:rPr>
                <w:rFonts w:hint="eastAsia" w:ascii="宋体" w:hAnsi="宋体" w:cs="宋体"/>
                <w:color w:val="auto"/>
                <w:sz w:val="24"/>
                <w:highlight w:val="none"/>
              </w:rPr>
            </w:pPr>
            <w:r>
              <w:rPr>
                <w:rFonts w:hint="eastAsia" w:ascii="宋体" w:hAnsi="宋体" w:cs="宋体"/>
                <w:color w:val="auto"/>
                <w:sz w:val="24"/>
                <w:highlight w:val="none"/>
              </w:rPr>
              <w:t>采购人</w:t>
            </w:r>
          </w:p>
        </w:tc>
        <w:tc>
          <w:tcPr>
            <w:tcW w:w="6519" w:type="dxa"/>
            <w:vAlign w:val="center"/>
          </w:tcPr>
          <w:p w14:paraId="589C5219">
            <w:pPr>
              <w:spacing w:line="440" w:lineRule="exact"/>
              <w:jc w:val="left"/>
              <w:rPr>
                <w:rFonts w:hint="eastAsia" w:ascii="宋体" w:hAnsi="宋体" w:cs="宋体"/>
                <w:color w:val="auto"/>
                <w:sz w:val="24"/>
                <w:highlight w:val="none"/>
              </w:rPr>
            </w:pPr>
            <w:r>
              <w:rPr>
                <w:rFonts w:hint="eastAsia" w:ascii="宋体" w:hAnsi="宋体" w:cs="宋体"/>
                <w:color w:val="auto"/>
                <w:sz w:val="24"/>
                <w:highlight w:val="none"/>
              </w:rPr>
              <w:t>采 购 人：周口市公安局</w:t>
            </w:r>
          </w:p>
          <w:p w14:paraId="00066C24">
            <w:pPr>
              <w:spacing w:line="440" w:lineRule="exact"/>
              <w:jc w:val="left"/>
              <w:rPr>
                <w:rFonts w:hint="eastAsia" w:ascii="宋体" w:hAnsi="宋体" w:cs="宋体"/>
                <w:color w:val="auto"/>
                <w:sz w:val="24"/>
                <w:highlight w:val="none"/>
              </w:rPr>
            </w:pPr>
            <w:r>
              <w:rPr>
                <w:rFonts w:hint="eastAsia" w:ascii="宋体" w:hAnsi="宋体" w:cs="宋体"/>
                <w:color w:val="auto"/>
                <w:sz w:val="24"/>
                <w:highlight w:val="none"/>
              </w:rPr>
              <w:t>地    址：周口市光明路与政通路交叉口</w:t>
            </w:r>
          </w:p>
          <w:p w14:paraId="116F5981">
            <w:pPr>
              <w:rPr>
                <w:rFonts w:hint="eastAsia" w:ascii="宋体" w:hAnsi="宋体" w:cs="宋体"/>
                <w:color w:val="auto"/>
                <w:sz w:val="24"/>
                <w:highlight w:val="none"/>
              </w:rPr>
            </w:pPr>
            <w:r>
              <w:rPr>
                <w:rFonts w:hint="eastAsia" w:ascii="宋体" w:hAnsi="宋体" w:cs="宋体"/>
                <w:color w:val="auto"/>
                <w:sz w:val="24"/>
                <w:highlight w:val="none"/>
              </w:rPr>
              <w:t xml:space="preserve">项目联系人：张登辉 </w:t>
            </w:r>
          </w:p>
          <w:p w14:paraId="77C954B8">
            <w:pPr>
              <w:rPr>
                <w:rFonts w:hint="eastAsia" w:ascii="宋体" w:hAnsi="宋体" w:cs="宋体"/>
                <w:color w:val="auto"/>
                <w:sz w:val="24"/>
                <w:highlight w:val="none"/>
              </w:rPr>
            </w:pPr>
            <w:r>
              <w:rPr>
                <w:rFonts w:hint="eastAsia" w:ascii="宋体" w:hAnsi="宋体" w:cs="宋体"/>
                <w:color w:val="auto"/>
                <w:sz w:val="24"/>
                <w:highlight w:val="none"/>
              </w:rPr>
              <w:t>联系方式：</w:t>
            </w:r>
            <w:bookmarkStart w:id="100" w:name="_GoBack"/>
            <w:bookmarkEnd w:id="100"/>
            <w:r>
              <w:rPr>
                <w:rFonts w:hint="eastAsia" w:ascii="宋体" w:hAnsi="宋体" w:cs="宋体"/>
                <w:color w:val="auto"/>
                <w:sz w:val="24"/>
                <w:highlight w:val="none"/>
                <w:lang w:val="en-US" w:eastAsia="zh-CN"/>
              </w:rPr>
              <w:t>18539726686</w:t>
            </w:r>
          </w:p>
        </w:tc>
      </w:tr>
      <w:tr w14:paraId="06BE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788" w:type="dxa"/>
            <w:vAlign w:val="center"/>
          </w:tcPr>
          <w:p w14:paraId="5C2B6051">
            <w:pPr>
              <w:rPr>
                <w:rFonts w:hint="eastAsia" w:ascii="宋体" w:hAnsi="宋体" w:cs="宋体"/>
                <w:color w:val="auto"/>
                <w:sz w:val="24"/>
                <w:highlight w:val="none"/>
              </w:rPr>
            </w:pPr>
            <w:r>
              <w:rPr>
                <w:rFonts w:hint="eastAsia" w:ascii="宋体" w:hAnsi="宋体" w:cs="宋体"/>
                <w:color w:val="auto"/>
                <w:sz w:val="24"/>
                <w:highlight w:val="none"/>
              </w:rPr>
              <w:t>2</w:t>
            </w:r>
          </w:p>
        </w:tc>
        <w:tc>
          <w:tcPr>
            <w:tcW w:w="2833" w:type="dxa"/>
            <w:vAlign w:val="center"/>
          </w:tcPr>
          <w:p w14:paraId="071AE956">
            <w:pPr>
              <w:rPr>
                <w:rFonts w:hint="eastAsia" w:ascii="宋体" w:hAnsi="宋体" w:cs="宋体"/>
                <w:color w:val="auto"/>
                <w:sz w:val="24"/>
                <w:highlight w:val="none"/>
              </w:rPr>
            </w:pPr>
            <w:r>
              <w:rPr>
                <w:rFonts w:hint="eastAsia" w:ascii="宋体" w:hAnsi="宋体" w:cs="宋体"/>
                <w:color w:val="auto"/>
                <w:sz w:val="24"/>
                <w:highlight w:val="none"/>
              </w:rPr>
              <w:t>委托人</w:t>
            </w:r>
          </w:p>
        </w:tc>
        <w:tc>
          <w:tcPr>
            <w:tcW w:w="6519" w:type="dxa"/>
            <w:vAlign w:val="center"/>
          </w:tcPr>
          <w:p w14:paraId="2E762D8F">
            <w:pPr>
              <w:spacing w:line="440" w:lineRule="exact"/>
              <w:jc w:val="left"/>
              <w:rPr>
                <w:rFonts w:hint="eastAsia" w:ascii="宋体" w:hAnsi="宋体" w:cs="宋体"/>
                <w:color w:val="auto"/>
                <w:sz w:val="24"/>
                <w:highlight w:val="none"/>
              </w:rPr>
            </w:pPr>
            <w:r>
              <w:rPr>
                <w:rFonts w:hint="eastAsia" w:ascii="宋体" w:hAnsi="宋体" w:cs="宋体"/>
                <w:color w:val="auto"/>
                <w:sz w:val="24"/>
                <w:highlight w:val="none"/>
              </w:rPr>
              <w:t>周口市公安局</w:t>
            </w:r>
          </w:p>
        </w:tc>
      </w:tr>
      <w:tr w14:paraId="0E2A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570C1B02">
            <w:pPr>
              <w:rPr>
                <w:rFonts w:hint="eastAsia" w:ascii="宋体" w:hAnsi="宋体" w:cs="宋体"/>
                <w:color w:val="auto"/>
                <w:sz w:val="24"/>
                <w:highlight w:val="none"/>
              </w:rPr>
            </w:pPr>
            <w:r>
              <w:rPr>
                <w:rFonts w:hint="eastAsia" w:ascii="宋体" w:hAnsi="宋体" w:cs="宋体"/>
                <w:color w:val="auto"/>
                <w:sz w:val="24"/>
                <w:highlight w:val="none"/>
              </w:rPr>
              <w:t>3</w:t>
            </w:r>
          </w:p>
        </w:tc>
        <w:tc>
          <w:tcPr>
            <w:tcW w:w="2833" w:type="dxa"/>
            <w:vAlign w:val="center"/>
          </w:tcPr>
          <w:p w14:paraId="0674EFE0">
            <w:pPr>
              <w:rPr>
                <w:rFonts w:hint="eastAsia" w:ascii="宋体" w:hAnsi="宋体" w:cs="宋体"/>
                <w:color w:val="auto"/>
                <w:sz w:val="24"/>
                <w:highlight w:val="none"/>
              </w:rPr>
            </w:pPr>
            <w:r>
              <w:rPr>
                <w:rFonts w:hint="eastAsia" w:ascii="宋体" w:hAnsi="宋体" w:cs="宋体"/>
                <w:color w:val="auto"/>
                <w:sz w:val="24"/>
                <w:highlight w:val="none"/>
              </w:rPr>
              <w:t>采购代理机构</w:t>
            </w:r>
          </w:p>
        </w:tc>
        <w:tc>
          <w:tcPr>
            <w:tcW w:w="6519" w:type="dxa"/>
            <w:vAlign w:val="center"/>
          </w:tcPr>
          <w:p w14:paraId="4F23172D">
            <w:pPr>
              <w:rPr>
                <w:rFonts w:hint="eastAsia" w:ascii="宋体" w:hAnsi="宋体" w:cs="宋体"/>
                <w:color w:val="auto"/>
                <w:sz w:val="24"/>
                <w:highlight w:val="none"/>
              </w:rPr>
            </w:pPr>
            <w:r>
              <w:rPr>
                <w:rFonts w:hint="eastAsia" w:ascii="宋体" w:hAnsi="宋体" w:cs="宋体"/>
                <w:color w:val="auto"/>
                <w:sz w:val="24"/>
                <w:highlight w:val="none"/>
              </w:rPr>
              <w:t>名  称：周口市公共资源交易中心政府采购中心</w:t>
            </w:r>
          </w:p>
          <w:p w14:paraId="103CF909">
            <w:pPr>
              <w:rPr>
                <w:rFonts w:hint="eastAsia"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tc>
      </w:tr>
      <w:tr w14:paraId="3228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0F7E3109">
            <w:pPr>
              <w:rPr>
                <w:rFonts w:hint="eastAsia" w:ascii="宋体" w:hAnsi="宋体" w:cs="宋体"/>
                <w:color w:val="auto"/>
                <w:sz w:val="24"/>
                <w:highlight w:val="none"/>
              </w:rPr>
            </w:pPr>
            <w:r>
              <w:rPr>
                <w:rFonts w:hint="eastAsia" w:ascii="宋体" w:hAnsi="宋体" w:cs="宋体"/>
                <w:color w:val="auto"/>
                <w:sz w:val="24"/>
                <w:highlight w:val="none"/>
              </w:rPr>
              <w:t>4</w:t>
            </w:r>
          </w:p>
        </w:tc>
        <w:tc>
          <w:tcPr>
            <w:tcW w:w="2833" w:type="dxa"/>
            <w:vAlign w:val="center"/>
          </w:tcPr>
          <w:p w14:paraId="772BEB5A">
            <w:pP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6519" w:type="dxa"/>
            <w:vAlign w:val="center"/>
          </w:tcPr>
          <w:p w14:paraId="6AF0C7AA">
            <w:pPr>
              <w:rPr>
                <w:rFonts w:hint="eastAsia" w:ascii="宋体" w:hAnsi="宋体" w:cs="宋体"/>
                <w:color w:val="auto"/>
                <w:sz w:val="24"/>
                <w:highlight w:val="none"/>
              </w:rPr>
            </w:pPr>
            <w:r>
              <w:rPr>
                <w:rFonts w:hint="eastAsia" w:ascii="宋体" w:hAnsi="宋体" w:cs="宋体"/>
                <w:color w:val="auto"/>
                <w:sz w:val="24"/>
                <w:highlight w:val="none"/>
              </w:rPr>
              <w:t>周口市公安局高速卡口信息化升级改造及运维项目</w:t>
            </w:r>
          </w:p>
        </w:tc>
      </w:tr>
      <w:tr w14:paraId="4A3B0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5FA333ED">
            <w:pPr>
              <w:rPr>
                <w:rFonts w:hint="eastAsia" w:ascii="宋体" w:hAnsi="宋体" w:cs="宋体"/>
                <w:color w:val="auto"/>
                <w:sz w:val="24"/>
                <w:highlight w:val="none"/>
              </w:rPr>
            </w:pPr>
            <w:r>
              <w:rPr>
                <w:rFonts w:hint="eastAsia" w:ascii="宋体" w:hAnsi="宋体" w:cs="宋体"/>
                <w:color w:val="auto"/>
                <w:sz w:val="24"/>
                <w:highlight w:val="none"/>
              </w:rPr>
              <w:t>5</w:t>
            </w:r>
          </w:p>
        </w:tc>
        <w:tc>
          <w:tcPr>
            <w:tcW w:w="2833" w:type="dxa"/>
            <w:vAlign w:val="center"/>
          </w:tcPr>
          <w:p w14:paraId="130BEA1C">
            <w:pPr>
              <w:rPr>
                <w:rFonts w:hint="eastAsia" w:ascii="宋体" w:hAnsi="宋体" w:cs="宋体"/>
                <w:color w:val="auto"/>
                <w:sz w:val="24"/>
                <w:highlight w:val="none"/>
              </w:rPr>
            </w:pPr>
            <w:r>
              <w:rPr>
                <w:rFonts w:hint="eastAsia" w:ascii="宋体" w:hAnsi="宋体" w:cs="宋体"/>
                <w:color w:val="auto"/>
                <w:sz w:val="24"/>
                <w:highlight w:val="none"/>
              </w:rPr>
              <w:t>项目编号</w:t>
            </w:r>
          </w:p>
        </w:tc>
        <w:tc>
          <w:tcPr>
            <w:tcW w:w="6519" w:type="dxa"/>
            <w:vAlign w:val="center"/>
          </w:tcPr>
          <w:p w14:paraId="4B20F3EF">
            <w:pPr>
              <w:rPr>
                <w:rFonts w:hint="eastAsia" w:ascii="宋体" w:hAnsi="宋体" w:cs="宋体"/>
                <w:color w:val="auto"/>
                <w:sz w:val="24"/>
                <w:highlight w:val="none"/>
              </w:rPr>
            </w:pPr>
            <w:r>
              <w:rPr>
                <w:rFonts w:hint="eastAsia" w:ascii="宋体" w:hAnsi="宋体" w:cs="宋体"/>
                <w:color w:val="auto"/>
                <w:sz w:val="24"/>
                <w:highlight w:val="none"/>
              </w:rPr>
              <w:t>周财招标采购-2025-54</w:t>
            </w:r>
          </w:p>
        </w:tc>
      </w:tr>
      <w:tr w14:paraId="0F47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88" w:type="dxa"/>
            <w:vAlign w:val="center"/>
          </w:tcPr>
          <w:p w14:paraId="55A5D247">
            <w:pPr>
              <w:rPr>
                <w:rFonts w:hint="eastAsia" w:ascii="宋体" w:hAnsi="宋体" w:cs="宋体"/>
                <w:color w:val="auto"/>
                <w:sz w:val="24"/>
                <w:highlight w:val="none"/>
              </w:rPr>
            </w:pPr>
            <w:r>
              <w:rPr>
                <w:rFonts w:hint="eastAsia" w:ascii="宋体" w:hAnsi="宋体" w:cs="宋体"/>
                <w:color w:val="auto"/>
                <w:sz w:val="24"/>
                <w:highlight w:val="none"/>
              </w:rPr>
              <w:t>6</w:t>
            </w:r>
          </w:p>
        </w:tc>
        <w:tc>
          <w:tcPr>
            <w:tcW w:w="2833" w:type="dxa"/>
            <w:vAlign w:val="center"/>
          </w:tcPr>
          <w:p w14:paraId="5580D318">
            <w:pPr>
              <w:rPr>
                <w:rFonts w:hint="eastAsia" w:ascii="宋体" w:hAnsi="宋体" w:cs="宋体"/>
                <w:color w:val="auto"/>
                <w:sz w:val="24"/>
                <w:highlight w:val="none"/>
              </w:rPr>
            </w:pPr>
            <w:r>
              <w:rPr>
                <w:rFonts w:hint="eastAsia" w:ascii="宋体" w:hAnsi="宋体" w:cs="宋体"/>
                <w:color w:val="auto"/>
                <w:sz w:val="24"/>
                <w:highlight w:val="none"/>
              </w:rPr>
              <w:t>项目性质</w:t>
            </w:r>
          </w:p>
        </w:tc>
        <w:tc>
          <w:tcPr>
            <w:tcW w:w="6519" w:type="dxa"/>
            <w:vAlign w:val="center"/>
          </w:tcPr>
          <w:p w14:paraId="4A2F2FBC">
            <w:pPr>
              <w:rPr>
                <w:rFonts w:hint="eastAsia" w:ascii="宋体" w:hAnsi="宋体" w:cs="宋体"/>
                <w:color w:val="auto"/>
                <w:sz w:val="24"/>
                <w:highlight w:val="none"/>
              </w:rPr>
            </w:pPr>
            <w:r>
              <w:rPr>
                <w:rFonts w:hint="eastAsia" w:ascii="宋体" w:hAnsi="宋体" w:cs="宋体"/>
                <w:color w:val="auto"/>
                <w:sz w:val="24"/>
                <w:highlight w:val="none"/>
              </w:rPr>
              <w:t>服务类</w:t>
            </w:r>
          </w:p>
        </w:tc>
      </w:tr>
      <w:tr w14:paraId="062A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38C9A0CA">
            <w:pPr>
              <w:rPr>
                <w:rFonts w:hint="eastAsia" w:ascii="宋体" w:hAnsi="宋体" w:cs="宋体"/>
                <w:color w:val="auto"/>
                <w:sz w:val="24"/>
                <w:highlight w:val="none"/>
              </w:rPr>
            </w:pPr>
            <w:r>
              <w:rPr>
                <w:rFonts w:hint="eastAsia" w:ascii="宋体" w:hAnsi="宋体" w:cs="宋体"/>
                <w:color w:val="auto"/>
                <w:sz w:val="24"/>
                <w:highlight w:val="none"/>
              </w:rPr>
              <w:t>7</w:t>
            </w:r>
          </w:p>
        </w:tc>
        <w:tc>
          <w:tcPr>
            <w:tcW w:w="2833" w:type="dxa"/>
            <w:vAlign w:val="center"/>
          </w:tcPr>
          <w:p w14:paraId="2A2A2F6A">
            <w:pPr>
              <w:rPr>
                <w:rFonts w:hint="eastAsia" w:ascii="宋体" w:hAnsi="宋体" w:cs="宋体"/>
                <w:color w:val="auto"/>
                <w:sz w:val="24"/>
                <w:highlight w:val="none"/>
              </w:rPr>
            </w:pPr>
            <w:r>
              <w:rPr>
                <w:rFonts w:hint="eastAsia" w:ascii="宋体" w:hAnsi="宋体" w:cs="宋体"/>
                <w:color w:val="auto"/>
                <w:sz w:val="24"/>
                <w:highlight w:val="none"/>
              </w:rPr>
              <w:t>资金来源</w:t>
            </w:r>
          </w:p>
        </w:tc>
        <w:tc>
          <w:tcPr>
            <w:tcW w:w="6519" w:type="dxa"/>
            <w:vAlign w:val="center"/>
          </w:tcPr>
          <w:p w14:paraId="2F69BAAB">
            <w:pPr>
              <w:rPr>
                <w:rFonts w:hint="eastAsia" w:ascii="宋体" w:hAnsi="宋体" w:cs="宋体"/>
                <w:color w:val="auto"/>
                <w:sz w:val="24"/>
                <w:highlight w:val="none"/>
              </w:rPr>
            </w:pPr>
            <w:r>
              <w:rPr>
                <w:rFonts w:hint="eastAsia" w:ascii="宋体" w:hAnsi="宋体" w:cs="宋体"/>
                <w:color w:val="auto"/>
                <w:sz w:val="24"/>
                <w:highlight w:val="none"/>
              </w:rPr>
              <w:t>财政资金</w:t>
            </w:r>
          </w:p>
        </w:tc>
      </w:tr>
      <w:tr w14:paraId="537AA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vAlign w:val="center"/>
          </w:tcPr>
          <w:p w14:paraId="3A79E4EE">
            <w:pPr>
              <w:rPr>
                <w:rFonts w:hint="eastAsia" w:ascii="宋体" w:hAnsi="宋体" w:cs="宋体"/>
                <w:color w:val="auto"/>
                <w:sz w:val="24"/>
                <w:highlight w:val="none"/>
              </w:rPr>
            </w:pPr>
            <w:r>
              <w:rPr>
                <w:rFonts w:hint="eastAsia" w:ascii="宋体" w:hAnsi="宋体" w:cs="宋体"/>
                <w:color w:val="auto"/>
                <w:sz w:val="24"/>
                <w:highlight w:val="none"/>
              </w:rPr>
              <w:t>8</w:t>
            </w:r>
          </w:p>
        </w:tc>
        <w:tc>
          <w:tcPr>
            <w:tcW w:w="2833" w:type="dxa"/>
          </w:tcPr>
          <w:p w14:paraId="7150585F">
            <w:pPr>
              <w:rPr>
                <w:rFonts w:hint="eastAsia" w:ascii="宋体" w:hAnsi="宋体" w:cs="宋体"/>
                <w:color w:val="auto"/>
                <w:sz w:val="24"/>
                <w:highlight w:val="none"/>
              </w:rPr>
            </w:pPr>
          </w:p>
          <w:p w14:paraId="325B3384">
            <w:pPr>
              <w:rPr>
                <w:rFonts w:hint="eastAsia" w:ascii="宋体" w:hAnsi="宋体" w:cs="宋体"/>
                <w:color w:val="auto"/>
                <w:sz w:val="24"/>
                <w:highlight w:val="none"/>
              </w:rPr>
            </w:pPr>
            <w:r>
              <w:rPr>
                <w:rFonts w:hint="eastAsia" w:ascii="宋体" w:hAnsi="宋体" w:cs="宋体"/>
                <w:color w:val="auto"/>
                <w:sz w:val="24"/>
                <w:highlight w:val="none"/>
              </w:rPr>
              <w:t>包别划分</w:t>
            </w:r>
          </w:p>
        </w:tc>
        <w:tc>
          <w:tcPr>
            <w:tcW w:w="6519" w:type="dxa"/>
            <w:vAlign w:val="center"/>
          </w:tcPr>
          <w:p w14:paraId="6FD4244B">
            <w:pPr>
              <w:rPr>
                <w:rFonts w:hint="eastAsia" w:ascii="宋体" w:hAnsi="宋体" w:cs="宋体"/>
                <w:color w:val="auto"/>
                <w:sz w:val="24"/>
                <w:highlight w:val="none"/>
              </w:rPr>
            </w:pPr>
            <w:r>
              <w:rPr>
                <w:rFonts w:hint="eastAsia" w:ascii="宋体" w:hAnsi="宋体" w:cs="宋体"/>
                <w:color w:val="auto"/>
                <w:sz w:val="24"/>
                <w:highlight w:val="none"/>
              </w:rPr>
              <w:t>本次招标共一个标段。</w:t>
            </w:r>
          </w:p>
          <w:p w14:paraId="38814D2E">
            <w:pPr>
              <w:rPr>
                <w:rFonts w:hint="eastAsia" w:ascii="宋体" w:hAnsi="宋体" w:cs="宋体"/>
                <w:color w:val="auto"/>
                <w:sz w:val="24"/>
                <w:highlight w:val="none"/>
              </w:rPr>
            </w:pPr>
            <w:r>
              <w:rPr>
                <w:rFonts w:hint="eastAsia" w:ascii="宋体" w:hAnsi="宋体" w:cs="宋体"/>
                <w:color w:val="auto"/>
                <w:sz w:val="24"/>
                <w:highlight w:val="none"/>
              </w:rPr>
              <w:t>投标人应就该项目进行完整投标，否则将不被接受。</w:t>
            </w:r>
          </w:p>
        </w:tc>
      </w:tr>
      <w:tr w14:paraId="228B9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22A49324">
            <w:pPr>
              <w:rPr>
                <w:rFonts w:hint="eastAsia" w:ascii="宋体" w:hAnsi="宋体" w:cs="宋体"/>
                <w:color w:val="auto"/>
                <w:sz w:val="24"/>
                <w:highlight w:val="none"/>
              </w:rPr>
            </w:pPr>
            <w:r>
              <w:rPr>
                <w:rFonts w:hint="eastAsia" w:ascii="宋体" w:hAnsi="宋体" w:cs="宋体"/>
                <w:color w:val="auto"/>
                <w:sz w:val="24"/>
                <w:highlight w:val="none"/>
              </w:rPr>
              <w:t>9</w:t>
            </w:r>
          </w:p>
        </w:tc>
        <w:tc>
          <w:tcPr>
            <w:tcW w:w="2833" w:type="dxa"/>
            <w:vAlign w:val="center"/>
          </w:tcPr>
          <w:p w14:paraId="1EADA312">
            <w:pPr>
              <w:rPr>
                <w:rFonts w:hint="eastAsia" w:ascii="宋体" w:hAnsi="宋体" w:cs="宋体"/>
                <w:color w:val="auto"/>
                <w:sz w:val="24"/>
                <w:highlight w:val="none"/>
              </w:rPr>
            </w:pPr>
            <w:r>
              <w:rPr>
                <w:rFonts w:hint="eastAsia" w:ascii="宋体" w:hAnsi="宋体" w:cs="宋体"/>
                <w:color w:val="auto"/>
                <w:sz w:val="24"/>
                <w:highlight w:val="none"/>
              </w:rPr>
              <w:t>付款方式</w:t>
            </w:r>
          </w:p>
        </w:tc>
        <w:tc>
          <w:tcPr>
            <w:tcW w:w="6519" w:type="dxa"/>
            <w:vAlign w:val="center"/>
          </w:tcPr>
          <w:p w14:paraId="0655BEF6">
            <w:pPr>
              <w:widowControl/>
              <w:jc w:val="left"/>
              <w:rPr>
                <w:rFonts w:hint="eastAsia" w:ascii="宋体" w:hAnsi="宋体" w:cs="宋体"/>
                <w:color w:val="auto"/>
                <w:highlight w:val="none"/>
              </w:rPr>
            </w:pPr>
            <w:r>
              <w:rPr>
                <w:rFonts w:hint="eastAsia" w:hAnsi="宋体"/>
                <w:color w:val="auto"/>
                <w:sz w:val="24"/>
                <w:highlight w:val="none"/>
              </w:rPr>
              <w:t>合同签订生效后，按月支付合同期内的服务费用。每月由采购人对中标项目的运行维护记录进行审核无异议后，</w:t>
            </w:r>
            <w:r>
              <w:rPr>
                <w:rFonts w:hint="eastAsia" w:ascii="宋体" w:hAnsi="宋体" w:cs="宋体"/>
                <w:color w:val="auto"/>
                <w:kern w:val="0"/>
                <w:sz w:val="24"/>
                <w:highlight w:val="none"/>
              </w:rPr>
              <w:t>采购人依据供货商开具的实际应付款项的正式发票</w:t>
            </w:r>
            <w:r>
              <w:rPr>
                <w:rFonts w:hint="eastAsia" w:hAnsi="宋体"/>
                <w:color w:val="auto"/>
                <w:sz w:val="24"/>
                <w:highlight w:val="none"/>
              </w:rPr>
              <w:t>支付上月费用。</w:t>
            </w:r>
          </w:p>
        </w:tc>
      </w:tr>
      <w:tr w14:paraId="7399A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vAlign w:val="center"/>
          </w:tcPr>
          <w:p w14:paraId="608E297C">
            <w:pPr>
              <w:rPr>
                <w:rFonts w:hint="eastAsia" w:ascii="宋体" w:hAnsi="宋体" w:cs="宋体"/>
                <w:color w:val="auto"/>
                <w:sz w:val="24"/>
                <w:highlight w:val="none"/>
              </w:rPr>
            </w:pPr>
            <w:r>
              <w:rPr>
                <w:rFonts w:hint="eastAsia" w:ascii="宋体" w:hAnsi="宋体" w:cs="宋体"/>
                <w:color w:val="auto"/>
                <w:sz w:val="24"/>
                <w:highlight w:val="none"/>
              </w:rPr>
              <w:t>10</w:t>
            </w:r>
          </w:p>
        </w:tc>
        <w:tc>
          <w:tcPr>
            <w:tcW w:w="2833" w:type="dxa"/>
            <w:vAlign w:val="center"/>
          </w:tcPr>
          <w:p w14:paraId="48DA5888">
            <w:pPr>
              <w:rPr>
                <w:rFonts w:hint="eastAsia" w:ascii="宋体" w:hAnsi="宋体" w:cs="宋体"/>
                <w:color w:val="auto"/>
                <w:sz w:val="24"/>
                <w:highlight w:val="none"/>
              </w:rPr>
            </w:pPr>
            <w:r>
              <w:rPr>
                <w:rFonts w:hint="eastAsia" w:ascii="宋体" w:hAnsi="宋体" w:cs="宋体"/>
                <w:color w:val="auto"/>
                <w:sz w:val="24"/>
                <w:highlight w:val="none"/>
              </w:rPr>
              <w:t>联合体投标</w:t>
            </w:r>
          </w:p>
        </w:tc>
        <w:tc>
          <w:tcPr>
            <w:tcW w:w="6519" w:type="dxa"/>
            <w:vAlign w:val="center"/>
          </w:tcPr>
          <w:p w14:paraId="7B83351D">
            <w:pPr>
              <w:rPr>
                <w:rFonts w:hint="eastAsia" w:ascii="宋体" w:hAnsi="宋体" w:cs="宋体"/>
                <w:color w:val="auto"/>
                <w:sz w:val="24"/>
                <w:highlight w:val="none"/>
              </w:rPr>
            </w:pPr>
            <w:r>
              <w:rPr>
                <w:rFonts w:hint="eastAsia" w:ascii="宋体" w:hAnsi="宋体" w:cs="宋体"/>
                <w:color w:val="auto"/>
                <w:sz w:val="24"/>
                <w:highlight w:val="none"/>
              </w:rPr>
              <w:t>不允许</w:t>
            </w:r>
          </w:p>
        </w:tc>
      </w:tr>
      <w:tr w14:paraId="66D5E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vAlign w:val="center"/>
          </w:tcPr>
          <w:p w14:paraId="688EA3AE">
            <w:pPr>
              <w:rPr>
                <w:rFonts w:hint="eastAsia" w:ascii="宋体" w:hAnsi="宋体" w:cs="宋体"/>
                <w:color w:val="auto"/>
                <w:sz w:val="24"/>
                <w:highlight w:val="none"/>
              </w:rPr>
            </w:pPr>
            <w:r>
              <w:rPr>
                <w:rFonts w:hint="eastAsia" w:ascii="宋体" w:hAnsi="宋体" w:cs="宋体"/>
                <w:color w:val="auto"/>
                <w:sz w:val="24"/>
                <w:highlight w:val="none"/>
              </w:rPr>
              <w:t>11</w:t>
            </w:r>
          </w:p>
        </w:tc>
        <w:tc>
          <w:tcPr>
            <w:tcW w:w="2833" w:type="dxa"/>
            <w:vAlign w:val="center"/>
          </w:tcPr>
          <w:p w14:paraId="432A28D8">
            <w:pPr>
              <w:rPr>
                <w:rFonts w:hint="eastAsia" w:ascii="宋体" w:hAnsi="宋体" w:cs="宋体"/>
                <w:color w:val="auto"/>
                <w:sz w:val="24"/>
                <w:highlight w:val="none"/>
              </w:rPr>
            </w:pPr>
            <w:r>
              <w:rPr>
                <w:rFonts w:hint="eastAsia" w:ascii="宋体" w:hAnsi="宋体" w:cs="宋体"/>
                <w:color w:val="auto"/>
                <w:sz w:val="24"/>
                <w:highlight w:val="none"/>
              </w:rPr>
              <w:t>投标有效期</w:t>
            </w:r>
          </w:p>
        </w:tc>
        <w:tc>
          <w:tcPr>
            <w:tcW w:w="6519" w:type="dxa"/>
            <w:vAlign w:val="center"/>
          </w:tcPr>
          <w:p w14:paraId="436DD01E">
            <w:pPr>
              <w:rPr>
                <w:rFonts w:hint="eastAsia" w:ascii="宋体" w:hAnsi="宋体" w:cs="宋体"/>
                <w:color w:val="auto"/>
                <w:sz w:val="24"/>
                <w:highlight w:val="none"/>
              </w:rPr>
            </w:pPr>
            <w:r>
              <w:rPr>
                <w:rFonts w:hint="eastAsia" w:ascii="宋体" w:hAnsi="宋体" w:cs="宋体"/>
                <w:color w:val="auto"/>
                <w:sz w:val="24"/>
                <w:highlight w:val="none"/>
              </w:rPr>
              <w:t>开标后60天</w:t>
            </w:r>
          </w:p>
        </w:tc>
      </w:tr>
      <w:tr w14:paraId="542C2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blHeader/>
          <w:jc w:val="center"/>
        </w:trPr>
        <w:tc>
          <w:tcPr>
            <w:tcW w:w="788" w:type="dxa"/>
            <w:vAlign w:val="center"/>
          </w:tcPr>
          <w:p w14:paraId="37F524D5">
            <w:pPr>
              <w:rPr>
                <w:rFonts w:hint="eastAsia" w:ascii="宋体" w:hAnsi="宋体" w:cs="宋体"/>
                <w:color w:val="auto"/>
                <w:sz w:val="24"/>
                <w:highlight w:val="none"/>
              </w:rPr>
            </w:pPr>
            <w:r>
              <w:rPr>
                <w:rFonts w:hint="eastAsia" w:ascii="宋体" w:hAnsi="宋体" w:cs="宋体"/>
                <w:color w:val="auto"/>
                <w:sz w:val="24"/>
                <w:highlight w:val="none"/>
              </w:rPr>
              <w:t>12</w:t>
            </w:r>
          </w:p>
        </w:tc>
        <w:tc>
          <w:tcPr>
            <w:tcW w:w="2833" w:type="dxa"/>
            <w:vAlign w:val="center"/>
          </w:tcPr>
          <w:p w14:paraId="5292CFED">
            <w:pPr>
              <w:rPr>
                <w:rFonts w:hint="eastAsia" w:ascii="宋体" w:hAnsi="宋体" w:cs="宋体"/>
                <w:color w:val="auto"/>
                <w:sz w:val="24"/>
                <w:highlight w:val="none"/>
              </w:rPr>
            </w:pPr>
            <w:r>
              <w:rPr>
                <w:rFonts w:hint="eastAsia" w:ascii="宋体" w:hAnsi="宋体" w:cs="宋体"/>
                <w:color w:val="auto"/>
                <w:sz w:val="24"/>
                <w:highlight w:val="none"/>
              </w:rPr>
              <w:t>服务地点</w:t>
            </w:r>
          </w:p>
        </w:tc>
        <w:tc>
          <w:tcPr>
            <w:tcW w:w="6519" w:type="dxa"/>
            <w:vAlign w:val="center"/>
          </w:tcPr>
          <w:p w14:paraId="653F9B0D">
            <w:pPr>
              <w:rPr>
                <w:rFonts w:hint="eastAsia" w:ascii="宋体" w:hAnsi="宋体" w:cs="宋体"/>
                <w:color w:val="auto"/>
                <w:sz w:val="24"/>
                <w:highlight w:val="none"/>
              </w:rPr>
            </w:pPr>
            <w:r>
              <w:rPr>
                <w:rFonts w:hint="eastAsia" w:ascii="宋体" w:hAnsi="宋体" w:cs="宋体"/>
                <w:color w:val="auto"/>
                <w:sz w:val="24"/>
                <w:highlight w:val="none"/>
              </w:rPr>
              <w:t>采购人指定地点</w:t>
            </w:r>
          </w:p>
        </w:tc>
      </w:tr>
      <w:tr w14:paraId="68B2A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blHeader/>
          <w:jc w:val="center"/>
        </w:trPr>
        <w:tc>
          <w:tcPr>
            <w:tcW w:w="788" w:type="dxa"/>
            <w:vAlign w:val="center"/>
          </w:tcPr>
          <w:p w14:paraId="3CF0608D">
            <w:pPr>
              <w:rPr>
                <w:rFonts w:hint="eastAsia" w:ascii="宋体" w:hAnsi="宋体" w:cs="宋体"/>
                <w:color w:val="auto"/>
                <w:sz w:val="24"/>
                <w:highlight w:val="none"/>
              </w:rPr>
            </w:pPr>
            <w:r>
              <w:rPr>
                <w:rFonts w:hint="eastAsia" w:ascii="宋体" w:hAnsi="宋体" w:cs="宋体"/>
                <w:color w:val="auto"/>
                <w:sz w:val="24"/>
                <w:highlight w:val="none"/>
              </w:rPr>
              <w:t>13</w:t>
            </w:r>
          </w:p>
        </w:tc>
        <w:tc>
          <w:tcPr>
            <w:tcW w:w="2833" w:type="dxa"/>
            <w:vAlign w:val="center"/>
          </w:tcPr>
          <w:p w14:paraId="6CB4DBA9">
            <w:pPr>
              <w:rPr>
                <w:rFonts w:hint="eastAsia" w:ascii="宋体" w:hAnsi="宋体" w:cs="宋体"/>
                <w:color w:val="auto"/>
                <w:sz w:val="24"/>
                <w:highlight w:val="none"/>
              </w:rPr>
            </w:pPr>
            <w:r>
              <w:rPr>
                <w:rFonts w:hint="eastAsia" w:ascii="宋体" w:hAnsi="宋体" w:cs="宋体"/>
                <w:color w:val="auto"/>
                <w:sz w:val="24"/>
                <w:highlight w:val="none"/>
              </w:rPr>
              <w:t>服务期限</w:t>
            </w:r>
          </w:p>
        </w:tc>
        <w:tc>
          <w:tcPr>
            <w:tcW w:w="6519" w:type="dxa"/>
            <w:vAlign w:val="center"/>
          </w:tcPr>
          <w:p w14:paraId="715BC572">
            <w:pPr>
              <w:rPr>
                <w:rFonts w:hint="eastAsia" w:ascii="宋体" w:hAnsi="宋体" w:cs="宋体"/>
                <w:color w:val="auto"/>
                <w:sz w:val="24"/>
                <w:highlight w:val="none"/>
              </w:rPr>
            </w:pPr>
            <w:r>
              <w:rPr>
                <w:rFonts w:hint="eastAsia" w:ascii="宋体" w:hAnsi="宋体" w:cs="宋体"/>
                <w:color w:val="auto"/>
                <w:sz w:val="24"/>
                <w:highlight w:val="none"/>
              </w:rPr>
              <w:t>升级改造完成，调试运行正常并验收合格后3年</w:t>
            </w:r>
          </w:p>
        </w:tc>
      </w:tr>
      <w:tr w14:paraId="33FD6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blHeader/>
          <w:jc w:val="center"/>
        </w:trPr>
        <w:tc>
          <w:tcPr>
            <w:tcW w:w="788" w:type="dxa"/>
            <w:vAlign w:val="center"/>
          </w:tcPr>
          <w:p w14:paraId="2972445A">
            <w:pPr>
              <w:rPr>
                <w:rFonts w:hint="eastAsia" w:ascii="宋体" w:hAnsi="宋体" w:cs="宋体"/>
                <w:color w:val="auto"/>
                <w:sz w:val="24"/>
                <w:highlight w:val="none"/>
              </w:rPr>
            </w:pPr>
            <w:r>
              <w:rPr>
                <w:rFonts w:hint="eastAsia" w:ascii="宋体" w:hAnsi="宋体" w:cs="宋体"/>
                <w:color w:val="auto"/>
                <w:sz w:val="24"/>
                <w:highlight w:val="none"/>
              </w:rPr>
              <w:t>14</w:t>
            </w:r>
          </w:p>
        </w:tc>
        <w:tc>
          <w:tcPr>
            <w:tcW w:w="2833" w:type="dxa"/>
            <w:vAlign w:val="center"/>
          </w:tcPr>
          <w:p w14:paraId="1FB5055E">
            <w:pPr>
              <w:rPr>
                <w:rFonts w:hint="eastAsia" w:ascii="宋体" w:hAnsi="宋体" w:cs="宋体"/>
                <w:color w:val="auto"/>
                <w:sz w:val="24"/>
                <w:highlight w:val="none"/>
              </w:rPr>
            </w:pPr>
            <w:r>
              <w:rPr>
                <w:rFonts w:hint="eastAsia" w:ascii="宋体" w:hAnsi="宋体" w:cs="宋体"/>
                <w:color w:val="auto"/>
                <w:sz w:val="24"/>
                <w:highlight w:val="none"/>
              </w:rPr>
              <w:t>质量要求</w:t>
            </w:r>
          </w:p>
        </w:tc>
        <w:tc>
          <w:tcPr>
            <w:tcW w:w="6519" w:type="dxa"/>
            <w:vAlign w:val="center"/>
          </w:tcPr>
          <w:p w14:paraId="7E9BA45D">
            <w:pPr>
              <w:rPr>
                <w:rFonts w:hint="eastAsia" w:ascii="宋体" w:hAnsi="宋体" w:cs="宋体"/>
                <w:color w:val="auto"/>
                <w:sz w:val="24"/>
                <w:highlight w:val="none"/>
              </w:rPr>
            </w:pPr>
            <w:r>
              <w:rPr>
                <w:rFonts w:hint="eastAsia" w:ascii="宋体" w:hAnsi="宋体" w:cs="宋体"/>
                <w:color w:val="auto"/>
                <w:sz w:val="24"/>
                <w:highlight w:val="none"/>
              </w:rPr>
              <w:t>合格，符合国家相关标准和规范要求，满足项目采购需求。</w:t>
            </w:r>
          </w:p>
        </w:tc>
      </w:tr>
      <w:tr w14:paraId="55A59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1C4ADA4A">
            <w:pPr>
              <w:rPr>
                <w:rFonts w:hint="eastAsia" w:ascii="宋体" w:hAnsi="宋体" w:cs="宋体"/>
                <w:color w:val="auto"/>
                <w:sz w:val="24"/>
                <w:highlight w:val="none"/>
              </w:rPr>
            </w:pPr>
            <w:r>
              <w:rPr>
                <w:rFonts w:hint="eastAsia" w:ascii="宋体" w:hAnsi="宋体" w:cs="宋体"/>
                <w:color w:val="auto"/>
                <w:sz w:val="24"/>
                <w:highlight w:val="none"/>
              </w:rPr>
              <w:t>15</w:t>
            </w:r>
          </w:p>
        </w:tc>
        <w:tc>
          <w:tcPr>
            <w:tcW w:w="2833" w:type="dxa"/>
            <w:vAlign w:val="center"/>
          </w:tcPr>
          <w:p w14:paraId="7EA4FB15">
            <w:pPr>
              <w:rPr>
                <w:rFonts w:hint="eastAsia" w:ascii="宋体" w:hAnsi="宋体" w:cs="宋体"/>
                <w:color w:val="auto"/>
                <w:sz w:val="24"/>
                <w:highlight w:val="none"/>
              </w:rPr>
            </w:pPr>
            <w:r>
              <w:rPr>
                <w:rFonts w:hint="eastAsia" w:ascii="宋体" w:hAnsi="宋体" w:cs="宋体"/>
                <w:color w:val="auto"/>
                <w:sz w:val="24"/>
                <w:highlight w:val="none"/>
              </w:rPr>
              <w:t>投标保证金金额</w:t>
            </w:r>
          </w:p>
        </w:tc>
        <w:tc>
          <w:tcPr>
            <w:tcW w:w="6519" w:type="dxa"/>
            <w:vAlign w:val="center"/>
          </w:tcPr>
          <w:p w14:paraId="1A41494B">
            <w:pPr>
              <w:rPr>
                <w:rFonts w:hint="eastAsia" w:ascii="宋体" w:hAnsi="宋体" w:cs="宋体"/>
                <w:color w:val="auto"/>
                <w:sz w:val="24"/>
                <w:highlight w:val="none"/>
              </w:rPr>
            </w:pPr>
            <w:r>
              <w:rPr>
                <w:rFonts w:hint="eastAsia" w:ascii="宋体" w:hAnsi="宋体" w:cs="宋体"/>
                <w:color w:val="auto"/>
                <w:sz w:val="24"/>
                <w:highlight w:val="none"/>
              </w:rPr>
              <w:t>不需要缴纳投标保证金</w:t>
            </w:r>
          </w:p>
        </w:tc>
      </w:tr>
      <w:tr w14:paraId="5DB50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4C5395D2">
            <w:pPr>
              <w:rPr>
                <w:rFonts w:hint="eastAsia" w:ascii="宋体" w:hAnsi="宋体" w:cs="宋体"/>
                <w:color w:val="auto"/>
                <w:sz w:val="24"/>
                <w:highlight w:val="none"/>
              </w:rPr>
            </w:pPr>
            <w:r>
              <w:rPr>
                <w:rFonts w:hint="eastAsia" w:ascii="宋体" w:hAnsi="宋体" w:cs="宋体"/>
                <w:color w:val="auto"/>
                <w:sz w:val="24"/>
                <w:highlight w:val="none"/>
              </w:rPr>
              <w:t>16</w:t>
            </w:r>
          </w:p>
        </w:tc>
        <w:tc>
          <w:tcPr>
            <w:tcW w:w="2833" w:type="dxa"/>
            <w:vAlign w:val="center"/>
          </w:tcPr>
          <w:p w14:paraId="3DA7766D">
            <w:pPr>
              <w:rPr>
                <w:rFonts w:hint="eastAsia" w:ascii="宋体" w:hAnsi="宋体" w:cs="宋体"/>
                <w:color w:val="auto"/>
                <w:sz w:val="24"/>
                <w:highlight w:val="none"/>
              </w:rPr>
            </w:pPr>
            <w:r>
              <w:rPr>
                <w:rFonts w:hint="eastAsia" w:ascii="宋体" w:hAnsi="宋体" w:cs="宋体"/>
                <w:color w:val="auto"/>
                <w:sz w:val="24"/>
                <w:highlight w:val="none"/>
              </w:rPr>
              <w:t>答疑</w:t>
            </w:r>
          </w:p>
        </w:tc>
        <w:tc>
          <w:tcPr>
            <w:tcW w:w="6519" w:type="dxa"/>
            <w:vAlign w:val="center"/>
          </w:tcPr>
          <w:p w14:paraId="5C7704F8">
            <w:pPr>
              <w:rPr>
                <w:rFonts w:hint="eastAsia" w:ascii="宋体" w:hAnsi="宋体" w:cs="宋体"/>
                <w:color w:val="auto"/>
                <w:sz w:val="24"/>
                <w:highlight w:val="none"/>
              </w:rPr>
            </w:pPr>
            <w:r>
              <w:rPr>
                <w:rFonts w:hint="eastAsia" w:ascii="宋体" w:hAnsi="宋体" w:cs="宋体"/>
                <w:color w:val="auto"/>
                <w:sz w:val="24"/>
                <w:highlight w:val="none"/>
              </w:rPr>
              <w:t>疑问的提出与答疑获取详见招标文件第二部分第五章投标人须知第36条。</w:t>
            </w:r>
          </w:p>
          <w:p w14:paraId="5D0681F9">
            <w:pPr>
              <w:rPr>
                <w:rFonts w:hint="eastAsia" w:ascii="宋体" w:hAnsi="宋体" w:cs="宋体"/>
                <w:color w:val="auto"/>
                <w:sz w:val="24"/>
                <w:highlight w:val="none"/>
              </w:rPr>
            </w:pPr>
            <w:r>
              <w:rPr>
                <w:rFonts w:hint="eastAsia" w:ascii="宋体" w:hAnsi="宋体" w:cs="宋体"/>
                <w:color w:val="auto"/>
                <w:sz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55658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jc w:val="center"/>
        </w:trPr>
        <w:tc>
          <w:tcPr>
            <w:tcW w:w="788" w:type="dxa"/>
            <w:vAlign w:val="center"/>
          </w:tcPr>
          <w:p w14:paraId="05A097E1">
            <w:pPr>
              <w:rPr>
                <w:rFonts w:hint="eastAsia" w:ascii="宋体" w:hAnsi="宋体" w:cs="宋体"/>
                <w:color w:val="auto"/>
                <w:sz w:val="24"/>
                <w:highlight w:val="none"/>
              </w:rPr>
            </w:pPr>
            <w:r>
              <w:rPr>
                <w:rFonts w:hint="eastAsia" w:ascii="宋体" w:hAnsi="宋体" w:cs="宋体"/>
                <w:color w:val="auto"/>
                <w:sz w:val="24"/>
                <w:highlight w:val="none"/>
              </w:rPr>
              <w:t>17</w:t>
            </w:r>
          </w:p>
        </w:tc>
        <w:tc>
          <w:tcPr>
            <w:tcW w:w="2833" w:type="dxa"/>
            <w:vAlign w:val="center"/>
          </w:tcPr>
          <w:p w14:paraId="7CEF466F">
            <w:pPr>
              <w:rPr>
                <w:rFonts w:hint="eastAsia" w:ascii="宋体" w:hAnsi="宋体" w:cs="宋体"/>
                <w:color w:val="auto"/>
                <w:sz w:val="24"/>
                <w:highlight w:val="none"/>
              </w:rPr>
            </w:pPr>
            <w:r>
              <w:rPr>
                <w:rFonts w:hint="eastAsia" w:ascii="宋体" w:hAnsi="宋体" w:cs="宋体"/>
                <w:color w:val="auto"/>
                <w:sz w:val="24"/>
                <w:highlight w:val="none"/>
              </w:rPr>
              <w:t>勘察现场</w:t>
            </w:r>
          </w:p>
        </w:tc>
        <w:tc>
          <w:tcPr>
            <w:tcW w:w="6519" w:type="dxa"/>
            <w:vAlign w:val="center"/>
          </w:tcPr>
          <w:p w14:paraId="026E1D45">
            <w:pPr>
              <w:rPr>
                <w:rFonts w:hint="eastAsia" w:ascii="宋体" w:hAnsi="宋体" w:cs="宋体"/>
                <w:color w:val="auto"/>
                <w:sz w:val="24"/>
                <w:highlight w:val="none"/>
              </w:rPr>
            </w:pPr>
            <w:r>
              <w:rPr>
                <w:rFonts w:hint="eastAsia" w:ascii="宋体" w:hAnsi="宋体" w:cs="宋体"/>
                <w:color w:val="auto"/>
                <w:sz w:val="24"/>
                <w:highlight w:val="none"/>
              </w:rPr>
              <w:t>详见“第五章 5.2”项（本项不作为</w:t>
            </w:r>
            <w:r>
              <w:rPr>
                <w:rFonts w:hint="eastAsia" w:ascii="宋体" w:hAnsi="宋体" w:cs="宋体"/>
                <w:color w:val="auto"/>
                <w:sz w:val="24"/>
                <w:highlight w:val="none"/>
                <w:lang w:val="en-US" w:eastAsia="zh-CN"/>
              </w:rPr>
              <w:t>废标</w:t>
            </w:r>
            <w:r>
              <w:rPr>
                <w:rFonts w:hint="eastAsia" w:ascii="宋体" w:hAnsi="宋体" w:cs="宋体"/>
                <w:color w:val="auto"/>
                <w:sz w:val="24"/>
                <w:highlight w:val="none"/>
              </w:rPr>
              <w:t>项）</w:t>
            </w:r>
          </w:p>
        </w:tc>
      </w:tr>
      <w:tr w14:paraId="78D8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32F16328">
            <w:pPr>
              <w:rPr>
                <w:rFonts w:hint="eastAsia" w:ascii="宋体" w:hAnsi="宋体" w:cs="宋体"/>
                <w:color w:val="auto"/>
                <w:sz w:val="24"/>
                <w:highlight w:val="none"/>
              </w:rPr>
            </w:pPr>
            <w:r>
              <w:rPr>
                <w:rFonts w:hint="eastAsia" w:ascii="宋体" w:hAnsi="宋体" w:cs="宋体"/>
                <w:color w:val="auto"/>
                <w:sz w:val="24"/>
                <w:highlight w:val="none"/>
              </w:rPr>
              <w:t>18</w:t>
            </w:r>
          </w:p>
        </w:tc>
        <w:tc>
          <w:tcPr>
            <w:tcW w:w="2833" w:type="dxa"/>
            <w:vAlign w:val="center"/>
          </w:tcPr>
          <w:p w14:paraId="7175C999">
            <w:pPr>
              <w:rPr>
                <w:rFonts w:hint="eastAsia" w:ascii="宋体" w:hAnsi="宋体" w:cs="宋体"/>
                <w:color w:val="auto"/>
                <w:sz w:val="24"/>
                <w:highlight w:val="none"/>
              </w:rPr>
            </w:pPr>
            <w:r>
              <w:rPr>
                <w:rFonts w:hint="eastAsia" w:ascii="宋体" w:hAnsi="宋体" w:cs="宋体"/>
                <w:color w:val="auto"/>
                <w:sz w:val="24"/>
                <w:highlight w:val="none"/>
              </w:rPr>
              <w:t>投标文件</w:t>
            </w:r>
          </w:p>
        </w:tc>
        <w:tc>
          <w:tcPr>
            <w:tcW w:w="6519" w:type="dxa"/>
            <w:vAlign w:val="center"/>
          </w:tcPr>
          <w:p w14:paraId="4EC3EB24">
            <w:pPr>
              <w:rPr>
                <w:rFonts w:hint="eastAsia" w:ascii="宋体" w:hAnsi="宋体" w:cs="宋体"/>
                <w:color w:val="auto"/>
                <w:sz w:val="24"/>
                <w:highlight w:val="none"/>
              </w:rPr>
            </w:pPr>
            <w:r>
              <w:rPr>
                <w:rFonts w:hint="eastAsia" w:ascii="宋体" w:hAnsi="宋体" w:cs="宋体"/>
                <w:color w:val="auto"/>
                <w:sz w:val="24"/>
                <w:highlight w:val="none"/>
              </w:rPr>
              <w:t>1、投标文件为使用周口市公共资源交易中心提供的电子标书制作工具软件（</w:t>
            </w:r>
            <w:r>
              <w:rPr>
                <w:rFonts w:hint="eastAsia" w:ascii="宋体" w:hAnsi="宋体" w:cs="宋体"/>
                <w:color w:val="auto"/>
                <w:highlight w:val="none"/>
              </w:rPr>
              <w:t>http://jyzx.zhoukou.gov.cn</w:t>
            </w:r>
            <w:r>
              <w:rPr>
                <w:rFonts w:hint="eastAsia" w:ascii="宋体" w:hAnsi="宋体" w:cs="宋体"/>
                <w:color w:val="auto"/>
                <w:sz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D20A7F5">
            <w:pPr>
              <w:pStyle w:val="30"/>
              <w:rPr>
                <w:rFonts w:hint="eastAsia" w:ascii="宋体" w:hAnsi="宋体" w:cs="宋体"/>
                <w:color w:val="auto"/>
                <w:highlight w:val="none"/>
              </w:rPr>
            </w:pPr>
            <w:r>
              <w:rPr>
                <w:rFonts w:hint="eastAsia" w:ascii="宋体" w:hAnsi="宋体" w:cs="宋体"/>
                <w:color w:val="auto"/>
                <w:sz w:val="24"/>
                <w:highlight w:val="none"/>
              </w:rPr>
              <w:t>2、本项目实行网上远程开标无须到现场提交投标文件，未加密的电子投标文件和纸质文件不再提交。</w:t>
            </w:r>
          </w:p>
        </w:tc>
      </w:tr>
      <w:tr w14:paraId="5985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1B3776BD">
            <w:pPr>
              <w:rPr>
                <w:rFonts w:hint="eastAsia" w:ascii="宋体" w:hAnsi="宋体" w:cs="宋体"/>
                <w:color w:val="auto"/>
                <w:sz w:val="24"/>
                <w:highlight w:val="none"/>
              </w:rPr>
            </w:pPr>
            <w:r>
              <w:rPr>
                <w:rFonts w:hint="eastAsia" w:ascii="宋体" w:hAnsi="宋体" w:cs="宋体"/>
                <w:color w:val="auto"/>
                <w:sz w:val="24"/>
                <w:highlight w:val="none"/>
              </w:rPr>
              <w:t>19</w:t>
            </w:r>
          </w:p>
        </w:tc>
        <w:tc>
          <w:tcPr>
            <w:tcW w:w="2833" w:type="dxa"/>
            <w:vAlign w:val="center"/>
          </w:tcPr>
          <w:p w14:paraId="39D2E470">
            <w:pPr>
              <w:rPr>
                <w:rFonts w:hint="eastAsia" w:ascii="宋体" w:hAnsi="宋体" w:cs="宋体"/>
                <w:color w:val="auto"/>
                <w:sz w:val="24"/>
                <w:highlight w:val="none"/>
              </w:rPr>
            </w:pPr>
            <w:r>
              <w:rPr>
                <w:rFonts w:hint="eastAsia" w:ascii="宋体" w:hAnsi="宋体" w:cs="宋体"/>
                <w:color w:val="auto"/>
                <w:sz w:val="24"/>
                <w:highlight w:val="none"/>
              </w:rPr>
              <w:t>投标时间及地点</w:t>
            </w:r>
          </w:p>
        </w:tc>
        <w:tc>
          <w:tcPr>
            <w:tcW w:w="6519" w:type="dxa"/>
            <w:vAlign w:val="center"/>
          </w:tcPr>
          <w:p w14:paraId="6A9263DE">
            <w:pPr>
              <w:rPr>
                <w:rFonts w:hint="eastAsia" w:ascii="宋体" w:hAnsi="宋体" w:cs="宋体"/>
                <w:color w:val="auto"/>
                <w:sz w:val="24"/>
                <w:highlight w:val="none"/>
              </w:rPr>
            </w:pPr>
            <w:r>
              <w:rPr>
                <w:rFonts w:hint="eastAsia" w:ascii="宋体" w:hAnsi="宋体" w:cs="宋体"/>
                <w:color w:val="auto"/>
                <w:sz w:val="24"/>
                <w:highlight w:val="none"/>
              </w:rPr>
              <w:t>投标截止时间：2025年</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29</w:t>
            </w:r>
            <w:r>
              <w:rPr>
                <w:rFonts w:hint="eastAsia" w:ascii="宋体" w:hAnsi="宋体" w:cs="宋体"/>
                <w:color w:val="auto"/>
                <w:sz w:val="24"/>
                <w:highlight w:val="none"/>
              </w:rPr>
              <w:t xml:space="preserve">日10点00分（北京时间）      </w:t>
            </w:r>
          </w:p>
          <w:p w14:paraId="0D0E2AEC">
            <w:pPr>
              <w:rPr>
                <w:rFonts w:hint="eastAsia" w:ascii="宋体" w:hAnsi="宋体"/>
                <w:color w:val="auto"/>
                <w:sz w:val="24"/>
                <w:highlight w:val="none"/>
              </w:rPr>
            </w:pPr>
            <w:r>
              <w:rPr>
                <w:rFonts w:hint="eastAsia" w:ascii="宋体" w:hAnsi="宋体" w:cs="宋体"/>
                <w:color w:val="auto"/>
                <w:sz w:val="24"/>
                <w:highlight w:val="none"/>
              </w:rPr>
              <w:t>标书递交地点：</w:t>
            </w:r>
            <w:r>
              <w:rPr>
                <w:rFonts w:hint="eastAsia" w:ascii="宋体" w:hAnsi="宋体"/>
                <w:color w:val="auto"/>
                <w:sz w:val="24"/>
                <w:highlight w:val="none"/>
              </w:rPr>
              <w:t>周口市公共资源交易中心网</w:t>
            </w:r>
          </w:p>
          <w:p w14:paraId="73914918">
            <w:pPr>
              <w:rPr>
                <w:rFonts w:hint="eastAsia" w:ascii="宋体" w:hAnsi="宋体" w:cs="宋体"/>
                <w:color w:val="auto"/>
                <w:sz w:val="24"/>
                <w:highlight w:val="none"/>
              </w:rPr>
            </w:pPr>
            <w:r>
              <w:rPr>
                <w:rFonts w:hint="eastAsia" w:ascii="宋体" w:hAnsi="宋体"/>
                <w:color w:val="auto"/>
                <w:sz w:val="24"/>
                <w:highlight w:val="none"/>
              </w:rPr>
              <w:t>网址：周口市公共资源电子交易服务平台会员系统（网址</w:t>
            </w:r>
            <w:r>
              <w:rPr>
                <w:rFonts w:hint="eastAsia" w:ascii="宋体" w:hAnsi="宋体"/>
                <w:color w:val="auto"/>
                <w:highlight w:val="none"/>
              </w:rPr>
              <w:t>http://jyzx.zhoukou.gov.cn）</w:t>
            </w:r>
          </w:p>
          <w:p w14:paraId="27AE01C0">
            <w:pPr>
              <w:rPr>
                <w:rFonts w:hint="eastAsia" w:ascii="宋体" w:hAnsi="宋体" w:cs="宋体"/>
                <w:color w:val="auto"/>
                <w:sz w:val="24"/>
                <w:highlight w:val="none"/>
              </w:rPr>
            </w:pPr>
            <w:r>
              <w:rPr>
                <w:rFonts w:hint="eastAsia" w:ascii="宋体" w:hAnsi="宋体" w:cs="宋体"/>
                <w:color w:val="auto"/>
                <w:sz w:val="24"/>
                <w:highlight w:val="none"/>
              </w:rPr>
              <w:t>（本项目实行网上远程开标无须到现场提交投标文件）</w:t>
            </w:r>
          </w:p>
        </w:tc>
      </w:tr>
      <w:tr w14:paraId="23666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tblHeader/>
          <w:jc w:val="center"/>
        </w:trPr>
        <w:tc>
          <w:tcPr>
            <w:tcW w:w="788" w:type="dxa"/>
            <w:vAlign w:val="center"/>
          </w:tcPr>
          <w:p w14:paraId="014CA028">
            <w:pPr>
              <w:rPr>
                <w:rFonts w:hint="eastAsia" w:ascii="宋体" w:hAnsi="宋体" w:cs="宋体"/>
                <w:color w:val="auto"/>
                <w:sz w:val="24"/>
                <w:highlight w:val="none"/>
              </w:rPr>
            </w:pPr>
            <w:r>
              <w:rPr>
                <w:rFonts w:hint="eastAsia" w:ascii="宋体" w:hAnsi="宋体" w:cs="宋体"/>
                <w:color w:val="auto"/>
                <w:sz w:val="24"/>
                <w:highlight w:val="none"/>
              </w:rPr>
              <w:t>20</w:t>
            </w:r>
          </w:p>
        </w:tc>
        <w:tc>
          <w:tcPr>
            <w:tcW w:w="2833" w:type="dxa"/>
            <w:vAlign w:val="center"/>
          </w:tcPr>
          <w:p w14:paraId="73A8CEDB">
            <w:pPr>
              <w:rPr>
                <w:rFonts w:hint="eastAsia" w:ascii="宋体" w:hAnsi="宋体" w:cs="宋体"/>
                <w:color w:val="auto"/>
                <w:sz w:val="24"/>
                <w:highlight w:val="none"/>
              </w:rPr>
            </w:pPr>
            <w:r>
              <w:rPr>
                <w:rFonts w:hint="eastAsia" w:ascii="宋体" w:hAnsi="宋体" w:cs="宋体"/>
                <w:color w:val="auto"/>
                <w:sz w:val="24"/>
                <w:highlight w:val="none"/>
              </w:rPr>
              <w:t>开标时间及地点</w:t>
            </w:r>
          </w:p>
        </w:tc>
        <w:tc>
          <w:tcPr>
            <w:tcW w:w="6519" w:type="dxa"/>
            <w:vAlign w:val="center"/>
          </w:tcPr>
          <w:p w14:paraId="2E14ADD5">
            <w:pPr>
              <w:rPr>
                <w:rFonts w:hint="eastAsia" w:ascii="宋体" w:hAnsi="宋体" w:cs="宋体"/>
                <w:color w:val="auto"/>
                <w:sz w:val="24"/>
                <w:highlight w:val="none"/>
              </w:rPr>
            </w:pPr>
            <w:r>
              <w:rPr>
                <w:rFonts w:hint="eastAsia" w:ascii="宋体" w:hAnsi="宋体" w:cs="宋体"/>
                <w:color w:val="auto"/>
                <w:sz w:val="24"/>
                <w:highlight w:val="none"/>
              </w:rPr>
              <w:t>开标时间：2025年</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29</w:t>
            </w:r>
            <w:r>
              <w:rPr>
                <w:rFonts w:hint="eastAsia" w:ascii="宋体" w:hAnsi="宋体" w:cs="宋体"/>
                <w:color w:val="auto"/>
                <w:sz w:val="24"/>
                <w:highlight w:val="none"/>
              </w:rPr>
              <w:t xml:space="preserve">日10点00分（北京时间）      </w:t>
            </w:r>
          </w:p>
          <w:p w14:paraId="6A5D9693">
            <w:pPr>
              <w:ind w:left="360" w:hanging="360" w:hangingChars="150"/>
              <w:rPr>
                <w:rFonts w:hint="eastAsia" w:ascii="宋体" w:hAnsi="宋体" w:cs="宋体"/>
                <w:color w:val="auto"/>
                <w:sz w:val="24"/>
                <w:highlight w:val="none"/>
              </w:rPr>
            </w:pPr>
            <w:r>
              <w:rPr>
                <w:rFonts w:hint="eastAsia" w:ascii="宋体" w:hAnsi="宋体" w:cs="宋体"/>
                <w:color w:val="auto"/>
                <w:sz w:val="24"/>
                <w:highlight w:val="none"/>
              </w:rPr>
              <w:t>开标地点：周口市光明路与政通路交叉口向北100米路东(周口市公共资源交易中心四楼开标室)</w:t>
            </w:r>
          </w:p>
        </w:tc>
      </w:tr>
      <w:tr w14:paraId="7F89E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jc w:val="center"/>
        </w:trPr>
        <w:tc>
          <w:tcPr>
            <w:tcW w:w="788" w:type="dxa"/>
            <w:vAlign w:val="center"/>
          </w:tcPr>
          <w:p w14:paraId="2ADEEDFF">
            <w:pPr>
              <w:rPr>
                <w:rFonts w:hint="eastAsia" w:ascii="宋体" w:hAnsi="宋体" w:cs="宋体"/>
                <w:color w:val="auto"/>
                <w:sz w:val="24"/>
                <w:highlight w:val="none"/>
              </w:rPr>
            </w:pPr>
            <w:r>
              <w:rPr>
                <w:rFonts w:hint="eastAsia" w:ascii="宋体" w:hAnsi="宋体" w:cs="宋体"/>
                <w:color w:val="auto"/>
                <w:sz w:val="24"/>
                <w:highlight w:val="none"/>
              </w:rPr>
              <w:t>21</w:t>
            </w:r>
          </w:p>
        </w:tc>
        <w:tc>
          <w:tcPr>
            <w:tcW w:w="2833" w:type="dxa"/>
            <w:vAlign w:val="center"/>
          </w:tcPr>
          <w:p w14:paraId="455D1E03">
            <w:pPr>
              <w:rPr>
                <w:rFonts w:hint="eastAsia" w:ascii="宋体" w:hAnsi="宋体" w:cs="宋体"/>
                <w:color w:val="auto"/>
                <w:sz w:val="24"/>
                <w:highlight w:val="none"/>
              </w:rPr>
            </w:pPr>
            <w:r>
              <w:rPr>
                <w:rFonts w:hint="eastAsia" w:ascii="宋体" w:hAnsi="宋体" w:cs="宋体"/>
                <w:color w:val="auto"/>
                <w:sz w:val="24"/>
                <w:highlight w:val="none"/>
              </w:rPr>
              <w:t>评标办法</w:t>
            </w:r>
          </w:p>
        </w:tc>
        <w:tc>
          <w:tcPr>
            <w:tcW w:w="6519" w:type="dxa"/>
            <w:vAlign w:val="center"/>
          </w:tcPr>
          <w:p w14:paraId="205532C8">
            <w:pPr>
              <w:rPr>
                <w:rFonts w:hint="eastAsia" w:ascii="宋体" w:hAnsi="宋体" w:cs="宋体"/>
                <w:color w:val="auto"/>
                <w:sz w:val="24"/>
                <w:highlight w:val="none"/>
              </w:rPr>
            </w:pPr>
            <w:r>
              <w:rPr>
                <w:rFonts w:hint="eastAsia" w:ascii="宋体" w:hAnsi="宋体" w:cs="宋体"/>
                <w:color w:val="auto"/>
                <w:sz w:val="24"/>
                <w:highlight w:val="none"/>
              </w:rPr>
              <w:t>综合评分法详见招标文件第一部分第四章评标办法</w:t>
            </w:r>
          </w:p>
        </w:tc>
      </w:tr>
      <w:tr w14:paraId="5AE61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jc w:val="center"/>
        </w:trPr>
        <w:tc>
          <w:tcPr>
            <w:tcW w:w="788" w:type="dxa"/>
            <w:vAlign w:val="center"/>
          </w:tcPr>
          <w:p w14:paraId="68586BF5">
            <w:pPr>
              <w:rPr>
                <w:rFonts w:hint="eastAsia" w:ascii="宋体" w:hAnsi="宋体" w:cs="宋体"/>
                <w:color w:val="auto"/>
                <w:sz w:val="24"/>
                <w:highlight w:val="none"/>
              </w:rPr>
            </w:pPr>
            <w:r>
              <w:rPr>
                <w:rFonts w:hint="eastAsia" w:ascii="宋体" w:hAnsi="宋体" w:cs="宋体"/>
                <w:color w:val="auto"/>
                <w:sz w:val="24"/>
                <w:highlight w:val="none"/>
              </w:rPr>
              <w:t>22</w:t>
            </w:r>
          </w:p>
        </w:tc>
        <w:tc>
          <w:tcPr>
            <w:tcW w:w="2833" w:type="dxa"/>
          </w:tcPr>
          <w:p w14:paraId="4503136A">
            <w:pPr>
              <w:rPr>
                <w:rFonts w:hint="eastAsia" w:ascii="宋体" w:hAnsi="宋体" w:cs="仿宋_GB2312"/>
                <w:color w:val="auto"/>
                <w:kern w:val="0"/>
                <w:sz w:val="24"/>
                <w:highlight w:val="none"/>
              </w:rPr>
            </w:pPr>
            <w:r>
              <w:rPr>
                <w:rFonts w:hint="eastAsia" w:ascii="宋体" w:hAnsi="宋体" w:cs="仿宋_GB2312"/>
                <w:color w:val="auto"/>
                <w:kern w:val="0"/>
                <w:sz w:val="24"/>
                <w:highlight w:val="none"/>
              </w:rPr>
              <w:t>解释权</w:t>
            </w:r>
          </w:p>
        </w:tc>
        <w:tc>
          <w:tcPr>
            <w:tcW w:w="6519" w:type="dxa"/>
          </w:tcPr>
          <w:p w14:paraId="220CAA18">
            <w:pPr>
              <w:rPr>
                <w:rFonts w:hint="eastAsia" w:ascii="宋体" w:hAnsi="宋体" w:cs="仿宋_GB2312"/>
                <w:color w:val="auto"/>
                <w:kern w:val="0"/>
                <w:sz w:val="24"/>
                <w:highlight w:val="none"/>
              </w:rPr>
            </w:pPr>
            <w:r>
              <w:rPr>
                <w:rFonts w:hint="eastAsia" w:ascii="宋体" w:hAnsi="宋体" w:cs="仿宋_GB2312"/>
                <w:color w:val="auto"/>
                <w:kern w:val="0"/>
                <w:sz w:val="24"/>
                <w:highlight w:val="none"/>
              </w:rPr>
              <w:t>构成本招标文件的各个组成文件应互为解释，互为说明；如有不明确 或不一致，构成合同文件组成内容的，以合同文件约定内容为准；除招标文件中有特别规定外，仅适用于招标阶段的规定，按招标公告、 投标人须知前附表、评标方法、投标人须知、投标文件格式的先后顺序解释；同一组成文件中就同一事项的规定或约定不一致的， 以编排顺序在后者为准； 同一组成文件不同版本之间有不一致的，以形成时间后者为准。按本款前述规定仍不能形成结论的，由采购人负责解释。</w:t>
            </w:r>
          </w:p>
        </w:tc>
      </w:tr>
      <w:tr w14:paraId="3E760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blHeader/>
          <w:jc w:val="center"/>
        </w:trPr>
        <w:tc>
          <w:tcPr>
            <w:tcW w:w="788" w:type="dxa"/>
            <w:vAlign w:val="center"/>
          </w:tcPr>
          <w:p w14:paraId="4781BCEA">
            <w:pPr>
              <w:rPr>
                <w:rFonts w:hint="eastAsia" w:ascii="宋体" w:hAnsi="宋体" w:cs="宋体"/>
                <w:color w:val="auto"/>
                <w:sz w:val="24"/>
                <w:highlight w:val="none"/>
              </w:rPr>
            </w:pPr>
            <w:r>
              <w:rPr>
                <w:rFonts w:hint="eastAsia" w:ascii="宋体" w:hAnsi="宋体" w:cs="宋体"/>
                <w:color w:val="auto"/>
                <w:sz w:val="24"/>
                <w:highlight w:val="none"/>
              </w:rPr>
              <w:t>23</w:t>
            </w:r>
          </w:p>
        </w:tc>
        <w:tc>
          <w:tcPr>
            <w:tcW w:w="2833" w:type="dxa"/>
            <w:vAlign w:val="center"/>
          </w:tcPr>
          <w:p w14:paraId="57392696">
            <w:pPr>
              <w:rPr>
                <w:rFonts w:hint="eastAsia" w:ascii="宋体" w:hAnsi="宋体" w:cs="宋体"/>
                <w:color w:val="auto"/>
                <w:sz w:val="24"/>
                <w:highlight w:val="none"/>
              </w:rPr>
            </w:pPr>
            <w:r>
              <w:rPr>
                <w:rFonts w:hint="eastAsia" w:ascii="宋体" w:hAnsi="宋体" w:cs="宋体"/>
                <w:color w:val="auto"/>
                <w:sz w:val="24"/>
                <w:highlight w:val="none"/>
              </w:rPr>
              <w:t>所属行业</w:t>
            </w:r>
          </w:p>
        </w:tc>
        <w:tc>
          <w:tcPr>
            <w:tcW w:w="6519" w:type="dxa"/>
            <w:vAlign w:val="center"/>
          </w:tcPr>
          <w:p w14:paraId="468A3091">
            <w:pPr>
              <w:rPr>
                <w:rFonts w:hint="eastAsia" w:ascii="宋体" w:hAnsi="宋体" w:cs="宋体"/>
                <w:color w:val="auto"/>
                <w:sz w:val="24"/>
                <w:highlight w:val="none"/>
              </w:rPr>
            </w:pPr>
            <w:r>
              <w:rPr>
                <w:rFonts w:hint="eastAsia" w:ascii="宋体" w:hAnsi="宋体"/>
                <w:color w:val="auto"/>
                <w:sz w:val="24"/>
                <w:highlight w:val="none"/>
              </w:rPr>
              <w:t>其他未列明行业</w:t>
            </w:r>
          </w:p>
        </w:tc>
      </w:tr>
      <w:tr w14:paraId="431FD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blHeader/>
          <w:jc w:val="center"/>
        </w:trPr>
        <w:tc>
          <w:tcPr>
            <w:tcW w:w="788" w:type="dxa"/>
            <w:vAlign w:val="center"/>
          </w:tcPr>
          <w:p w14:paraId="524FD9D6">
            <w:pPr>
              <w:rPr>
                <w:rFonts w:hint="eastAsia" w:ascii="宋体" w:hAnsi="宋体" w:cs="宋体"/>
                <w:color w:val="auto"/>
                <w:sz w:val="24"/>
                <w:highlight w:val="none"/>
              </w:rPr>
            </w:pPr>
            <w:r>
              <w:rPr>
                <w:rFonts w:hint="eastAsia" w:ascii="宋体" w:hAnsi="宋体" w:cs="宋体"/>
                <w:color w:val="auto"/>
                <w:sz w:val="24"/>
                <w:highlight w:val="none"/>
              </w:rPr>
              <w:t>24</w:t>
            </w:r>
          </w:p>
        </w:tc>
        <w:tc>
          <w:tcPr>
            <w:tcW w:w="2833" w:type="dxa"/>
            <w:vAlign w:val="center"/>
          </w:tcPr>
          <w:p w14:paraId="5C64D5C9">
            <w:pPr>
              <w:rPr>
                <w:rFonts w:hint="eastAsia" w:ascii="宋体" w:hAnsi="宋体" w:cs="宋体"/>
                <w:color w:val="auto"/>
                <w:sz w:val="24"/>
                <w:highlight w:val="none"/>
              </w:rPr>
            </w:pPr>
            <w:r>
              <w:rPr>
                <w:rFonts w:hint="eastAsia" w:ascii="宋体" w:hAnsi="宋体" w:cs="宋体"/>
                <w:color w:val="auto"/>
                <w:sz w:val="24"/>
                <w:highlight w:val="none"/>
              </w:rPr>
              <w:t>评标委员会</w:t>
            </w:r>
          </w:p>
        </w:tc>
        <w:tc>
          <w:tcPr>
            <w:tcW w:w="6519" w:type="dxa"/>
            <w:vAlign w:val="center"/>
          </w:tcPr>
          <w:p w14:paraId="236A6134">
            <w:pPr>
              <w:rPr>
                <w:rFonts w:hint="eastAsia" w:ascii="宋体" w:hAnsi="宋体"/>
                <w:color w:val="auto"/>
                <w:sz w:val="24"/>
                <w:highlight w:val="none"/>
              </w:rPr>
            </w:pPr>
            <w:r>
              <w:rPr>
                <w:rFonts w:hint="eastAsia" w:ascii="宋体" w:hAnsi="宋体" w:cs="宋体"/>
                <w:color w:val="auto"/>
                <w:sz w:val="24"/>
                <w:highlight w:val="none"/>
              </w:rPr>
              <w:t>评标委员会由评审专家组成，成员人数为 5人，评审专家从河南省政府采购专家评审库中抽取。</w:t>
            </w:r>
          </w:p>
        </w:tc>
      </w:tr>
      <w:tr w14:paraId="24CAD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blHeader/>
          <w:jc w:val="center"/>
        </w:trPr>
        <w:tc>
          <w:tcPr>
            <w:tcW w:w="788" w:type="dxa"/>
            <w:vAlign w:val="center"/>
          </w:tcPr>
          <w:p w14:paraId="36C50FE5">
            <w:pPr>
              <w:rPr>
                <w:rFonts w:hint="eastAsia" w:ascii="宋体" w:hAnsi="宋体" w:cs="宋体"/>
                <w:color w:val="auto"/>
                <w:sz w:val="24"/>
                <w:highlight w:val="none"/>
              </w:rPr>
            </w:pPr>
            <w:r>
              <w:rPr>
                <w:rFonts w:hint="eastAsia" w:ascii="宋体" w:hAnsi="宋体" w:cs="宋体"/>
                <w:color w:val="auto"/>
                <w:sz w:val="24"/>
                <w:highlight w:val="none"/>
              </w:rPr>
              <w:t>25</w:t>
            </w:r>
          </w:p>
        </w:tc>
        <w:tc>
          <w:tcPr>
            <w:tcW w:w="2833" w:type="dxa"/>
          </w:tcPr>
          <w:p w14:paraId="677C5281">
            <w:pPr>
              <w:rPr>
                <w:rFonts w:hint="eastAsia" w:ascii="宋体" w:hAnsi="宋体" w:cs="仿宋_GB2312"/>
                <w:color w:val="auto"/>
                <w:kern w:val="0"/>
                <w:sz w:val="24"/>
                <w:highlight w:val="none"/>
              </w:rPr>
            </w:pPr>
            <w:r>
              <w:rPr>
                <w:rFonts w:hint="eastAsia" w:ascii="宋体" w:hAnsi="宋体" w:cs="宋体"/>
                <w:color w:val="auto"/>
                <w:sz w:val="24"/>
                <w:highlight w:val="none"/>
              </w:rPr>
              <w:t>其它</w:t>
            </w:r>
          </w:p>
        </w:tc>
        <w:tc>
          <w:tcPr>
            <w:tcW w:w="6519" w:type="dxa"/>
          </w:tcPr>
          <w:p w14:paraId="27761DDE">
            <w:pPr>
              <w:rPr>
                <w:rFonts w:hint="eastAsia" w:ascii="宋体" w:hAnsi="宋体" w:cs="宋体"/>
                <w:color w:val="auto"/>
                <w:sz w:val="24"/>
                <w:highlight w:val="none"/>
              </w:rPr>
            </w:pPr>
            <w:r>
              <w:rPr>
                <w:rFonts w:hint="eastAsia"/>
                <w:color w:val="auto"/>
                <w:sz w:val="24"/>
                <w:highlight w:val="none"/>
              </w:rPr>
              <w:t>1、</w:t>
            </w:r>
            <w:r>
              <w:rPr>
                <w:rFonts w:hint="eastAsia" w:ascii="宋体" w:hAnsi="宋体" w:cs="宋体"/>
                <w:bCs/>
                <w:color w:val="auto"/>
                <w:sz w:val="24"/>
                <w:highlight w:val="none"/>
              </w:rPr>
              <w:t>本项目控制价为：</w:t>
            </w:r>
            <w:r>
              <w:rPr>
                <w:rFonts w:hint="eastAsia" w:ascii="宋体" w:hAnsi="宋体" w:cs="宋体"/>
                <w:b/>
                <w:color w:val="auto"/>
                <w:sz w:val="24"/>
                <w:highlight w:val="none"/>
              </w:rPr>
              <w:t>服务费用为7150959.55元。</w:t>
            </w:r>
          </w:p>
          <w:p w14:paraId="7964A2EA">
            <w:pPr>
              <w:rPr>
                <w:rFonts w:hint="eastAsia" w:ascii="宋体" w:hAnsi="宋体" w:cs="仿宋_GB2312"/>
                <w:color w:val="auto"/>
                <w:kern w:val="0"/>
                <w:sz w:val="24"/>
                <w:highlight w:val="none"/>
              </w:rPr>
            </w:pPr>
            <w:r>
              <w:rPr>
                <w:rFonts w:hint="eastAsia" w:ascii="宋体" w:hAnsi="宋体" w:cs="宋体"/>
                <w:color w:val="auto"/>
                <w:sz w:val="24"/>
                <w:highlight w:val="none"/>
              </w:rPr>
              <w:t>2、采购人验收如需第三方质检部门介入，第三方质检验收所需费用由中标人负担。</w:t>
            </w:r>
          </w:p>
        </w:tc>
      </w:tr>
    </w:tbl>
    <w:p w14:paraId="282BAC78">
      <w:pPr>
        <w:pStyle w:val="18"/>
        <w:rPr>
          <w:rFonts w:hint="eastAsia" w:hAnsi="宋体" w:cs="宋体"/>
          <w:color w:val="auto"/>
          <w:highlight w:val="none"/>
        </w:rPr>
      </w:pPr>
    </w:p>
    <w:p w14:paraId="2E843CD4">
      <w:pPr>
        <w:pStyle w:val="4"/>
        <w:pageBreakBefore/>
        <w:spacing w:before="200" w:after="200" w:line="360" w:lineRule="auto"/>
        <w:jc w:val="center"/>
        <w:rPr>
          <w:color w:val="auto"/>
          <w:highlight w:val="none"/>
        </w:rPr>
      </w:pPr>
      <w:bookmarkStart w:id="41" w:name="_Hlt509650351"/>
      <w:bookmarkEnd w:id="41"/>
      <w:bookmarkStart w:id="42" w:name="_Hlt509650027"/>
      <w:bookmarkEnd w:id="42"/>
      <w:bookmarkStart w:id="43" w:name="_Hlt519045778"/>
      <w:bookmarkEnd w:id="43"/>
      <w:bookmarkStart w:id="44" w:name="_Hlt516969057"/>
      <w:bookmarkEnd w:id="44"/>
      <w:bookmarkStart w:id="45" w:name="_Toc450_WPSOffice_Level1"/>
      <w:bookmarkStart w:id="46" w:name="_Toc22493"/>
      <w:bookmarkStart w:id="47" w:name="_Toc220232390"/>
      <w:bookmarkStart w:id="48" w:name="_Toc14477"/>
      <w:r>
        <w:rPr>
          <w:rFonts w:hint="eastAsia"/>
          <w:color w:val="auto"/>
          <w:highlight w:val="none"/>
        </w:rPr>
        <w:t>第三章 需求一览表</w:t>
      </w:r>
      <w:bookmarkEnd w:id="45"/>
      <w:bookmarkEnd w:id="46"/>
      <w:bookmarkEnd w:id="47"/>
      <w:bookmarkEnd w:id="48"/>
    </w:p>
    <w:p w14:paraId="221E6490">
      <w:pPr>
        <w:spacing w:line="360" w:lineRule="auto"/>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cs="宋体"/>
          <w:color w:val="auto"/>
          <w:sz w:val="24"/>
          <w:highlight w:val="none"/>
        </w:rPr>
        <w:t>技术方案或者设备配置，且此方案或配置须经评委会审核认可；</w:t>
      </w:r>
      <w:r>
        <w:rPr>
          <w:rFonts w:hint="eastAsia" w:ascii="宋体" w:hAnsi="宋体" w:cs="宋体"/>
          <w:color w:val="auto"/>
          <w:sz w:val="24"/>
          <w:highlight w:val="none"/>
        </w:rPr>
        <w:cr/>
      </w:r>
      <w:r>
        <w:rPr>
          <w:rFonts w:hint="eastAsia" w:ascii="宋体" w:hAnsi="宋体" w:cs="宋体"/>
          <w:color w:val="auto"/>
          <w:sz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0304B019">
      <w:pPr>
        <w:numPr>
          <w:ilvl w:val="0"/>
          <w:numId w:val="20"/>
        </w:numPr>
        <w:spacing w:line="360" w:lineRule="auto"/>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4） 投标人应当在投标文件中列出完成本项目并通过验收所需的所有各项服务等明细表及全部费用。中标人必须书面保证整体通过用户方及有关主管部门一次性验收,且所发生的验收费用由中标人承担。投标人按照服务需求自行踏勘现场，现场勘察是投标人编制服务方案的依据，如投标人因未及时踏勘现场而导致实质响应不足、报价缺项、漏项、废标、或中标后无法完工等，投标人自行承担一切后果；</w:t>
      </w:r>
    </w:p>
    <w:p w14:paraId="65E46301">
      <w:pPr>
        <w:spacing w:line="360" w:lineRule="auto"/>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5）如对本招标文件有任何疑问或澄清要求，请按本招标文件“投标人须知前附表”中约定联系周口市公共资源交易中心政府采购中心，或接受答疑截止时间前联系采购人。否则视同理解和接受。</w:t>
      </w:r>
    </w:p>
    <w:p w14:paraId="05B718DA">
      <w:pPr>
        <w:spacing w:line="360" w:lineRule="auto"/>
        <w:ind w:firstLine="480" w:firstLineChars="200"/>
        <w:rPr>
          <w:rFonts w:hint="eastAsia" w:ascii="宋体" w:hAnsi="宋体" w:cs="宋体"/>
          <w:color w:val="auto"/>
          <w:sz w:val="24"/>
          <w:szCs w:val="28"/>
          <w:highlight w:val="none"/>
        </w:rPr>
      </w:pPr>
    </w:p>
    <w:p w14:paraId="5C41147F">
      <w:pPr>
        <w:spacing w:line="360" w:lineRule="auto"/>
        <w:ind w:firstLine="480" w:firstLineChars="200"/>
        <w:rPr>
          <w:rFonts w:hint="eastAsia" w:ascii="宋体" w:hAnsi="宋体" w:cs="宋体"/>
          <w:color w:val="auto"/>
          <w:sz w:val="24"/>
          <w:szCs w:val="28"/>
          <w:highlight w:val="none"/>
        </w:rPr>
      </w:pPr>
    </w:p>
    <w:p w14:paraId="47BC39E8">
      <w:pPr>
        <w:spacing w:line="360" w:lineRule="auto"/>
        <w:ind w:firstLine="480" w:firstLineChars="200"/>
        <w:rPr>
          <w:rFonts w:hint="eastAsia" w:ascii="宋体" w:hAnsi="宋体" w:cs="宋体"/>
          <w:color w:val="auto"/>
          <w:sz w:val="24"/>
          <w:szCs w:val="28"/>
          <w:highlight w:val="none"/>
        </w:rPr>
      </w:pPr>
    </w:p>
    <w:p w14:paraId="1B065718">
      <w:pPr>
        <w:spacing w:line="360" w:lineRule="auto"/>
        <w:ind w:firstLine="480" w:firstLineChars="200"/>
        <w:rPr>
          <w:rFonts w:hint="eastAsia" w:ascii="宋体" w:hAnsi="宋体" w:cs="宋体"/>
          <w:color w:val="auto"/>
          <w:sz w:val="24"/>
          <w:szCs w:val="28"/>
          <w:highlight w:val="none"/>
        </w:rPr>
      </w:pPr>
    </w:p>
    <w:p w14:paraId="5D47F714">
      <w:pPr>
        <w:spacing w:line="360" w:lineRule="auto"/>
        <w:ind w:firstLine="480" w:firstLineChars="200"/>
        <w:rPr>
          <w:rFonts w:hint="eastAsia" w:ascii="宋体" w:hAnsi="宋体" w:cs="宋体"/>
          <w:color w:val="auto"/>
          <w:sz w:val="24"/>
          <w:szCs w:val="28"/>
          <w:highlight w:val="none"/>
        </w:rPr>
      </w:pPr>
    </w:p>
    <w:p w14:paraId="2CDE9F6C">
      <w:pPr>
        <w:spacing w:line="360" w:lineRule="auto"/>
        <w:ind w:firstLine="480" w:firstLineChars="200"/>
        <w:rPr>
          <w:rFonts w:hint="eastAsia" w:ascii="宋体" w:hAnsi="宋体" w:cs="宋体"/>
          <w:color w:val="auto"/>
          <w:sz w:val="24"/>
          <w:szCs w:val="28"/>
          <w:highlight w:val="none"/>
        </w:rPr>
      </w:pPr>
    </w:p>
    <w:p w14:paraId="51611E89">
      <w:pPr>
        <w:pageBreakBefore/>
        <w:pBdr>
          <w:bottom w:val="dotted" w:color="auto" w:sz="24" w:space="1"/>
        </w:pBd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服务需求</w:t>
      </w:r>
    </w:p>
    <w:p w14:paraId="15DD3CBF">
      <w:pPr>
        <w:pBdr>
          <w:bottom w:val="dotted" w:color="auto" w:sz="24" w:space="1"/>
        </w:pBd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（采购人根据项目情况设定）</w:t>
      </w:r>
    </w:p>
    <w:p w14:paraId="63703018">
      <w:pPr>
        <w:pStyle w:val="5"/>
        <w:spacing w:before="200" w:after="200" w:line="360" w:lineRule="auto"/>
        <w:rPr>
          <w:color w:val="auto"/>
          <w:highlight w:val="none"/>
        </w:rPr>
      </w:pPr>
      <w:r>
        <w:rPr>
          <w:rFonts w:hint="eastAsia"/>
          <w:color w:val="auto"/>
          <w:highlight w:val="none"/>
        </w:rPr>
        <w:t>一、项目概况</w:t>
      </w:r>
    </w:p>
    <w:p w14:paraId="61F1F836">
      <w:pPr>
        <w:spacing w:line="360" w:lineRule="auto"/>
        <w:jc w:val="left"/>
        <w:rPr>
          <w:rFonts w:hint="eastAsia" w:ascii="宋体" w:hAnsi="宋体" w:cs="宋体"/>
          <w:color w:val="auto"/>
          <w:sz w:val="24"/>
          <w:highlight w:val="none"/>
        </w:rPr>
      </w:pPr>
      <w:r>
        <w:rPr>
          <w:rFonts w:hint="eastAsia" w:ascii="宋体" w:hAnsi="宋体" w:cs="宋体"/>
          <w:b/>
          <w:bCs/>
          <w:color w:val="auto"/>
          <w:sz w:val="24"/>
          <w:highlight w:val="none"/>
        </w:rPr>
        <w:t>1、项目建设背景</w:t>
      </w:r>
      <w:r>
        <w:rPr>
          <w:rFonts w:hint="eastAsia" w:ascii="宋体" w:hAnsi="宋体" w:cs="宋体"/>
          <w:color w:val="auto"/>
          <w:sz w:val="24"/>
          <w:highlight w:val="none"/>
        </w:rPr>
        <w:t>：</w:t>
      </w:r>
    </w:p>
    <w:p w14:paraId="1ACC144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周口市公安局高速卡口建设项目在2017年实施完成，质保期内设备保持了90%以上的在线率，在实际工作中发挥了较好作用。项目运维于2023年12月结束，后续由于缺乏维护，加之部分设备已超期使用多年，存在老化、损坏、不符合现行执行标准等问题，设备在线率大幅下滑，大部分功能无法实现，严重影响高速交警支队工作的正常开展。</w:t>
      </w:r>
    </w:p>
    <w:p w14:paraId="22318C8E">
      <w:pPr>
        <w:spacing w:line="360" w:lineRule="auto"/>
        <w:jc w:val="left"/>
        <w:rPr>
          <w:rFonts w:hint="eastAsia" w:ascii="宋体" w:hAnsi="宋体" w:cs="宋体"/>
          <w:b/>
          <w:bCs/>
          <w:color w:val="auto"/>
          <w:sz w:val="24"/>
          <w:highlight w:val="none"/>
        </w:rPr>
      </w:pPr>
      <w:r>
        <w:rPr>
          <w:rFonts w:hint="eastAsia" w:ascii="宋体" w:hAnsi="宋体" w:cs="宋体"/>
          <w:b/>
          <w:bCs/>
          <w:color w:val="auto"/>
          <w:sz w:val="24"/>
          <w:highlight w:val="none"/>
        </w:rPr>
        <w:t>2、设备现状：</w:t>
      </w:r>
    </w:p>
    <w:p w14:paraId="61E9EAFE">
      <w:pPr>
        <w:spacing w:line="360" w:lineRule="auto"/>
        <w:rPr>
          <w:rFonts w:hint="eastAsia" w:ascii="宋体" w:hAnsi="宋体" w:cs="宋体"/>
          <w:b/>
          <w:bCs/>
          <w:color w:val="auto"/>
          <w:sz w:val="24"/>
          <w:highlight w:val="none"/>
        </w:rPr>
      </w:pPr>
      <w:bookmarkStart w:id="49" w:name="_Toc188361893"/>
      <w:bookmarkStart w:id="50" w:name="_Toc29311035"/>
      <w:bookmarkStart w:id="51" w:name="_Toc22747881"/>
      <w:bookmarkStart w:id="52" w:name="_Toc15814"/>
      <w:bookmarkStart w:id="53" w:name="_Toc127712043"/>
      <w:bookmarkStart w:id="54" w:name="_Toc103270605"/>
      <w:r>
        <w:rPr>
          <w:rFonts w:hint="eastAsia" w:ascii="宋体" w:hAnsi="宋体" w:cs="宋体"/>
          <w:b/>
          <w:bCs/>
          <w:color w:val="auto"/>
          <w:sz w:val="24"/>
          <w:highlight w:val="none"/>
        </w:rPr>
        <w:t>2.1升级改造内容及点位位置</w:t>
      </w:r>
    </w:p>
    <w:p w14:paraId="65E8F01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平台软件、服务器、数据库、云存储系统、核心交换机等平台部分拟部署在周口市局黄河路机房。</w:t>
      </w:r>
    </w:p>
    <w:p w14:paraId="344F3F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前端部分升级改造点位地点分布情况：卡口设备161个（盐洛高速36个、宁洛高速32个、大广高速36个、安罗高速21个、商南高速36个）；球机设备69个（盐洛高速15个、宁洛高速13个、大广高速18个、安罗高速10个、商南高速13个）。</w:t>
      </w:r>
    </w:p>
    <w:p w14:paraId="5F3E44D9">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2.2外场设备运行现状</w:t>
      </w:r>
      <w:bookmarkEnd w:id="49"/>
      <w:bookmarkEnd w:id="50"/>
      <w:bookmarkEnd w:id="51"/>
      <w:bookmarkEnd w:id="52"/>
      <w:bookmarkEnd w:id="53"/>
      <w:bookmarkEnd w:id="54"/>
    </w:p>
    <w:p w14:paraId="72E41AE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周口市高速卡口项目前期建设主要以高速收费站闸道口、高速路段区间测速为主，前期建设的抓拍设备161台、高清网络球机69台、终端管理设备79台、交通信息发布屏20套。</w:t>
      </w:r>
    </w:p>
    <w:p w14:paraId="33E953EE">
      <w:pPr>
        <w:spacing w:line="360" w:lineRule="auto"/>
        <w:rPr>
          <w:rFonts w:hint="eastAsia" w:ascii="宋体" w:hAnsi="宋体" w:cs="宋体"/>
          <w:b/>
          <w:bCs/>
          <w:color w:val="auto"/>
          <w:sz w:val="24"/>
          <w:highlight w:val="none"/>
        </w:rPr>
      </w:pPr>
      <w:bookmarkStart w:id="55" w:name="_Toc1385"/>
      <w:bookmarkStart w:id="56" w:name="_Toc188361894"/>
      <w:r>
        <w:rPr>
          <w:rFonts w:hint="eastAsia" w:ascii="宋体" w:hAnsi="宋体" w:cs="宋体"/>
          <w:b/>
          <w:bCs/>
          <w:color w:val="auto"/>
          <w:sz w:val="24"/>
          <w:highlight w:val="none"/>
        </w:rPr>
        <w:t>2.3机房现状</w:t>
      </w:r>
      <w:bookmarkEnd w:id="55"/>
      <w:bookmarkEnd w:id="56"/>
    </w:p>
    <w:p w14:paraId="1945B1E5">
      <w:pPr>
        <w:spacing w:line="360" w:lineRule="auto"/>
        <w:rPr>
          <w:rFonts w:hint="eastAsia" w:ascii="宋体" w:hAnsi="宋体" w:cs="宋体"/>
          <w:color w:val="auto"/>
          <w:sz w:val="24"/>
          <w:highlight w:val="none"/>
        </w:rPr>
      </w:pPr>
      <w:r>
        <w:rPr>
          <w:rFonts w:hint="eastAsia" w:ascii="宋体" w:hAnsi="宋体" w:cs="宋体"/>
          <w:color w:val="auto"/>
          <w:sz w:val="24"/>
          <w:highlight w:val="none"/>
        </w:rPr>
        <w:t>周口市交警支队五楼机房共有20平方米，目前机柜已全部用完，和高速卡口有关的设备现状如下：云存储节点4台，应用服务器8台。</w:t>
      </w:r>
    </w:p>
    <w:p w14:paraId="21C66F44">
      <w:pPr>
        <w:spacing w:line="360" w:lineRule="auto"/>
        <w:rPr>
          <w:rFonts w:hint="eastAsia" w:ascii="宋体" w:hAnsi="宋体" w:cs="宋体"/>
          <w:b/>
          <w:bCs/>
          <w:color w:val="auto"/>
          <w:sz w:val="24"/>
          <w:highlight w:val="none"/>
        </w:rPr>
      </w:pPr>
      <w:bookmarkStart w:id="57" w:name="_Toc188361895"/>
      <w:bookmarkStart w:id="58" w:name="_Toc8250"/>
      <w:r>
        <w:rPr>
          <w:rFonts w:hint="eastAsia" w:ascii="宋体" w:hAnsi="宋体" w:cs="宋体"/>
          <w:b/>
          <w:bCs/>
          <w:color w:val="auto"/>
          <w:sz w:val="24"/>
          <w:highlight w:val="none"/>
        </w:rPr>
        <w:t>2.4平台现状</w:t>
      </w:r>
      <w:bookmarkEnd w:id="57"/>
      <w:bookmarkEnd w:id="58"/>
    </w:p>
    <w:p w14:paraId="54A74BB5">
      <w:pPr>
        <w:spacing w:line="36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目前周口市公安局交警支队部署了高速卡口应用平台、交通诱导信息发布平台、非现场执法平台和存储系统。</w:t>
      </w:r>
    </w:p>
    <w:p w14:paraId="31104DF3">
      <w:pPr>
        <w:spacing w:line="360" w:lineRule="auto"/>
        <w:rPr>
          <w:rFonts w:hint="eastAsia" w:ascii="宋体" w:hAnsi="宋体" w:cs="宋体"/>
          <w:b/>
          <w:bCs/>
          <w:color w:val="auto"/>
          <w:sz w:val="24"/>
          <w:highlight w:val="none"/>
        </w:rPr>
      </w:pPr>
      <w:bookmarkStart w:id="59" w:name="_Toc3446"/>
      <w:r>
        <w:rPr>
          <w:rFonts w:hint="eastAsia" w:ascii="宋体" w:hAnsi="宋体" w:cs="宋体"/>
          <w:b/>
          <w:bCs/>
          <w:color w:val="auto"/>
          <w:sz w:val="24"/>
          <w:highlight w:val="none"/>
        </w:rPr>
        <w:t>2.5现有设备名称及主要技术参数（以前合同内容）</w:t>
      </w:r>
      <w:bookmarkEnd w:id="59"/>
    </w:p>
    <w:tbl>
      <w:tblPr>
        <w:tblStyle w:val="35"/>
        <w:tblW w:w="8399" w:type="dxa"/>
        <w:tblInd w:w="100" w:type="dxa"/>
        <w:tblLayout w:type="fixed"/>
        <w:tblCellMar>
          <w:top w:w="0" w:type="dxa"/>
          <w:left w:w="108" w:type="dxa"/>
          <w:bottom w:w="0" w:type="dxa"/>
          <w:right w:w="108" w:type="dxa"/>
        </w:tblCellMar>
      </w:tblPr>
      <w:tblGrid>
        <w:gridCol w:w="3120"/>
        <w:gridCol w:w="3029"/>
        <w:gridCol w:w="1260"/>
        <w:gridCol w:w="990"/>
      </w:tblGrid>
      <w:tr w14:paraId="5C18760F">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598B2C08">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设备名称</w:t>
            </w:r>
          </w:p>
        </w:tc>
        <w:tc>
          <w:tcPr>
            <w:tcW w:w="3029" w:type="dxa"/>
            <w:tcBorders>
              <w:top w:val="single" w:color="000000" w:sz="4" w:space="0"/>
              <w:left w:val="single" w:color="000000" w:sz="4" w:space="0"/>
              <w:bottom w:val="single" w:color="000000" w:sz="4" w:space="0"/>
              <w:right w:val="single" w:color="000000" w:sz="4" w:space="0"/>
            </w:tcBorders>
            <w:vAlign w:val="center"/>
          </w:tcPr>
          <w:p w14:paraId="4B25170E">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规格型号</w:t>
            </w:r>
          </w:p>
        </w:tc>
        <w:tc>
          <w:tcPr>
            <w:tcW w:w="1260" w:type="dxa"/>
            <w:tcBorders>
              <w:top w:val="single" w:color="000000" w:sz="4" w:space="0"/>
              <w:left w:val="single" w:color="000000" w:sz="4" w:space="0"/>
              <w:bottom w:val="single" w:color="000000" w:sz="4" w:space="0"/>
              <w:right w:val="single" w:color="000000" w:sz="4" w:space="0"/>
            </w:tcBorders>
            <w:vAlign w:val="center"/>
          </w:tcPr>
          <w:p w14:paraId="68F2605B">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数量</w:t>
            </w:r>
          </w:p>
        </w:tc>
        <w:tc>
          <w:tcPr>
            <w:tcW w:w="990" w:type="dxa"/>
            <w:tcBorders>
              <w:top w:val="single" w:color="000000" w:sz="4" w:space="0"/>
              <w:left w:val="single" w:color="000000" w:sz="4" w:space="0"/>
              <w:bottom w:val="single" w:color="000000" w:sz="4" w:space="0"/>
              <w:right w:val="single" w:color="000000" w:sz="4" w:space="0"/>
            </w:tcBorders>
            <w:vAlign w:val="center"/>
          </w:tcPr>
          <w:p w14:paraId="35676EF5">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单位</w:t>
            </w:r>
          </w:p>
        </w:tc>
      </w:tr>
      <w:tr w14:paraId="486CDFEE">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3175FB1C">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700万像素高清抓拍单元</w:t>
            </w:r>
          </w:p>
        </w:tc>
        <w:tc>
          <w:tcPr>
            <w:tcW w:w="3029" w:type="dxa"/>
            <w:tcBorders>
              <w:top w:val="single" w:color="000000" w:sz="4" w:space="0"/>
              <w:left w:val="single" w:color="000000" w:sz="4" w:space="0"/>
              <w:bottom w:val="single" w:color="000000" w:sz="4" w:space="0"/>
              <w:right w:val="single" w:color="000000" w:sz="4" w:space="0"/>
            </w:tcBorders>
            <w:vAlign w:val="center"/>
          </w:tcPr>
          <w:p w14:paraId="162F3CF6">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DH-CP602-RU1A-L</w:t>
            </w:r>
          </w:p>
        </w:tc>
        <w:tc>
          <w:tcPr>
            <w:tcW w:w="1260" w:type="dxa"/>
            <w:tcBorders>
              <w:top w:val="single" w:color="000000" w:sz="4" w:space="0"/>
              <w:left w:val="single" w:color="000000" w:sz="4" w:space="0"/>
              <w:bottom w:val="single" w:color="000000" w:sz="4" w:space="0"/>
              <w:right w:val="single" w:color="000000" w:sz="4" w:space="0"/>
            </w:tcBorders>
            <w:vAlign w:val="center"/>
          </w:tcPr>
          <w:p w14:paraId="2D427067">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146</w:t>
            </w:r>
          </w:p>
        </w:tc>
        <w:tc>
          <w:tcPr>
            <w:tcW w:w="990" w:type="dxa"/>
            <w:tcBorders>
              <w:top w:val="single" w:color="000000" w:sz="4" w:space="0"/>
              <w:left w:val="single" w:color="000000" w:sz="4" w:space="0"/>
              <w:bottom w:val="single" w:color="000000" w:sz="4" w:space="0"/>
              <w:right w:val="single" w:color="000000" w:sz="4" w:space="0"/>
            </w:tcBorders>
            <w:vAlign w:val="center"/>
          </w:tcPr>
          <w:p w14:paraId="68DEDA62">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套</w:t>
            </w:r>
          </w:p>
        </w:tc>
      </w:tr>
      <w:tr w14:paraId="1603C00F">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13D790BE">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雷达</w:t>
            </w:r>
          </w:p>
        </w:tc>
        <w:tc>
          <w:tcPr>
            <w:tcW w:w="3029" w:type="dxa"/>
            <w:tcBorders>
              <w:top w:val="single" w:color="000000" w:sz="4" w:space="0"/>
              <w:left w:val="single" w:color="000000" w:sz="4" w:space="0"/>
              <w:bottom w:val="single" w:color="000000" w:sz="4" w:space="0"/>
              <w:right w:val="single" w:color="000000" w:sz="4" w:space="0"/>
            </w:tcBorders>
            <w:vAlign w:val="center"/>
          </w:tcPr>
          <w:p w14:paraId="4FD89659">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DH-ITARD-024SA</w:t>
            </w:r>
          </w:p>
        </w:tc>
        <w:tc>
          <w:tcPr>
            <w:tcW w:w="1260" w:type="dxa"/>
            <w:tcBorders>
              <w:top w:val="single" w:color="000000" w:sz="4" w:space="0"/>
              <w:left w:val="single" w:color="000000" w:sz="4" w:space="0"/>
              <w:bottom w:val="single" w:color="000000" w:sz="4" w:space="0"/>
              <w:right w:val="single" w:color="000000" w:sz="4" w:space="0"/>
            </w:tcBorders>
            <w:vAlign w:val="center"/>
          </w:tcPr>
          <w:p w14:paraId="430CBF8E">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90</w:t>
            </w:r>
          </w:p>
        </w:tc>
        <w:tc>
          <w:tcPr>
            <w:tcW w:w="990" w:type="dxa"/>
            <w:tcBorders>
              <w:top w:val="single" w:color="000000" w:sz="4" w:space="0"/>
              <w:left w:val="single" w:color="000000" w:sz="4" w:space="0"/>
              <w:bottom w:val="single" w:color="000000" w:sz="4" w:space="0"/>
              <w:right w:val="single" w:color="000000" w:sz="4" w:space="0"/>
            </w:tcBorders>
            <w:vAlign w:val="center"/>
          </w:tcPr>
          <w:p w14:paraId="5B1D81A7">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台</w:t>
            </w:r>
          </w:p>
        </w:tc>
      </w:tr>
      <w:tr w14:paraId="6BF480EA">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28EBB181">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智能闪光灯</w:t>
            </w:r>
          </w:p>
        </w:tc>
        <w:tc>
          <w:tcPr>
            <w:tcW w:w="3029" w:type="dxa"/>
            <w:tcBorders>
              <w:top w:val="single" w:color="000000" w:sz="4" w:space="0"/>
              <w:left w:val="single" w:color="000000" w:sz="4" w:space="0"/>
              <w:bottom w:val="single" w:color="000000" w:sz="4" w:space="0"/>
              <w:right w:val="single" w:color="000000" w:sz="4" w:space="0"/>
            </w:tcBorders>
            <w:vAlign w:val="center"/>
          </w:tcPr>
          <w:p w14:paraId="75056239">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DH-ITALF-300AC</w:t>
            </w:r>
          </w:p>
        </w:tc>
        <w:tc>
          <w:tcPr>
            <w:tcW w:w="1260" w:type="dxa"/>
            <w:tcBorders>
              <w:top w:val="single" w:color="000000" w:sz="4" w:space="0"/>
              <w:left w:val="single" w:color="000000" w:sz="4" w:space="0"/>
              <w:bottom w:val="single" w:color="000000" w:sz="4" w:space="0"/>
              <w:right w:val="single" w:color="000000" w:sz="4" w:space="0"/>
            </w:tcBorders>
            <w:vAlign w:val="center"/>
          </w:tcPr>
          <w:p w14:paraId="6A962608">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292</w:t>
            </w:r>
          </w:p>
        </w:tc>
        <w:tc>
          <w:tcPr>
            <w:tcW w:w="990" w:type="dxa"/>
            <w:tcBorders>
              <w:top w:val="single" w:color="000000" w:sz="4" w:space="0"/>
              <w:left w:val="single" w:color="000000" w:sz="4" w:space="0"/>
              <w:bottom w:val="single" w:color="000000" w:sz="4" w:space="0"/>
              <w:right w:val="single" w:color="000000" w:sz="4" w:space="0"/>
            </w:tcBorders>
            <w:vAlign w:val="center"/>
          </w:tcPr>
          <w:p w14:paraId="1D3DEE87">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台</w:t>
            </w:r>
          </w:p>
        </w:tc>
      </w:tr>
      <w:tr w14:paraId="12860DE1">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1E0282FA">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全景监控球机</w:t>
            </w:r>
          </w:p>
        </w:tc>
        <w:tc>
          <w:tcPr>
            <w:tcW w:w="3029" w:type="dxa"/>
            <w:tcBorders>
              <w:top w:val="single" w:color="000000" w:sz="4" w:space="0"/>
              <w:left w:val="single" w:color="000000" w:sz="4" w:space="0"/>
              <w:bottom w:val="single" w:color="000000" w:sz="4" w:space="0"/>
              <w:right w:val="single" w:color="000000" w:sz="4" w:space="0"/>
            </w:tcBorders>
            <w:vAlign w:val="center"/>
          </w:tcPr>
          <w:p w14:paraId="61676EEF">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DH-SD-6A9230F-HNI</w:t>
            </w:r>
          </w:p>
        </w:tc>
        <w:tc>
          <w:tcPr>
            <w:tcW w:w="1260" w:type="dxa"/>
            <w:tcBorders>
              <w:top w:val="single" w:color="000000" w:sz="4" w:space="0"/>
              <w:left w:val="single" w:color="000000" w:sz="4" w:space="0"/>
              <w:bottom w:val="single" w:color="000000" w:sz="4" w:space="0"/>
              <w:right w:val="single" w:color="000000" w:sz="4" w:space="0"/>
            </w:tcBorders>
            <w:vAlign w:val="center"/>
          </w:tcPr>
          <w:p w14:paraId="5817B6EA">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65</w:t>
            </w:r>
          </w:p>
        </w:tc>
        <w:tc>
          <w:tcPr>
            <w:tcW w:w="990" w:type="dxa"/>
            <w:tcBorders>
              <w:top w:val="single" w:color="000000" w:sz="4" w:space="0"/>
              <w:left w:val="single" w:color="000000" w:sz="4" w:space="0"/>
              <w:bottom w:val="single" w:color="000000" w:sz="4" w:space="0"/>
              <w:right w:val="single" w:color="000000" w:sz="4" w:space="0"/>
            </w:tcBorders>
            <w:vAlign w:val="center"/>
          </w:tcPr>
          <w:p w14:paraId="20D12506">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台</w:t>
            </w:r>
          </w:p>
        </w:tc>
      </w:tr>
      <w:tr w14:paraId="02A46F84">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3BCF3B25">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高清智能卡口终端服务器</w:t>
            </w:r>
          </w:p>
        </w:tc>
        <w:tc>
          <w:tcPr>
            <w:tcW w:w="3029" w:type="dxa"/>
            <w:tcBorders>
              <w:top w:val="single" w:color="000000" w:sz="4" w:space="0"/>
              <w:left w:val="single" w:color="000000" w:sz="4" w:space="0"/>
              <w:bottom w:val="single" w:color="000000" w:sz="4" w:space="0"/>
              <w:right w:val="single" w:color="000000" w:sz="4" w:space="0"/>
            </w:tcBorders>
            <w:vAlign w:val="center"/>
          </w:tcPr>
          <w:p w14:paraId="181CBC15">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DH-ITSE0804-GN5B-D</w:t>
            </w:r>
          </w:p>
        </w:tc>
        <w:tc>
          <w:tcPr>
            <w:tcW w:w="1260" w:type="dxa"/>
            <w:tcBorders>
              <w:top w:val="single" w:color="000000" w:sz="4" w:space="0"/>
              <w:left w:val="single" w:color="000000" w:sz="4" w:space="0"/>
              <w:bottom w:val="single" w:color="000000" w:sz="4" w:space="0"/>
              <w:right w:val="single" w:color="000000" w:sz="4" w:space="0"/>
            </w:tcBorders>
            <w:vAlign w:val="center"/>
          </w:tcPr>
          <w:p w14:paraId="2168299A">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73</w:t>
            </w:r>
          </w:p>
        </w:tc>
        <w:tc>
          <w:tcPr>
            <w:tcW w:w="990" w:type="dxa"/>
            <w:tcBorders>
              <w:top w:val="single" w:color="000000" w:sz="4" w:space="0"/>
              <w:left w:val="single" w:color="000000" w:sz="4" w:space="0"/>
              <w:bottom w:val="single" w:color="000000" w:sz="4" w:space="0"/>
              <w:right w:val="single" w:color="000000" w:sz="4" w:space="0"/>
            </w:tcBorders>
            <w:vAlign w:val="center"/>
          </w:tcPr>
          <w:p w14:paraId="3410C6B9">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套</w:t>
            </w:r>
          </w:p>
        </w:tc>
      </w:tr>
      <w:tr w14:paraId="718C1170">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7956D94A">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云存储管理系统</w:t>
            </w:r>
          </w:p>
        </w:tc>
        <w:tc>
          <w:tcPr>
            <w:tcW w:w="3029" w:type="dxa"/>
            <w:tcBorders>
              <w:top w:val="single" w:color="000000" w:sz="4" w:space="0"/>
              <w:left w:val="single" w:color="000000" w:sz="4" w:space="0"/>
              <w:bottom w:val="single" w:color="000000" w:sz="4" w:space="0"/>
              <w:right w:val="single" w:color="000000" w:sz="4" w:space="0"/>
            </w:tcBorders>
            <w:vAlign w:val="center"/>
          </w:tcPr>
          <w:p w14:paraId="13DAF0E3">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DH-CSS9064X</w:t>
            </w:r>
          </w:p>
        </w:tc>
        <w:tc>
          <w:tcPr>
            <w:tcW w:w="1260" w:type="dxa"/>
            <w:tcBorders>
              <w:top w:val="single" w:color="000000" w:sz="4" w:space="0"/>
              <w:left w:val="single" w:color="000000" w:sz="4" w:space="0"/>
              <w:bottom w:val="single" w:color="000000" w:sz="4" w:space="0"/>
              <w:right w:val="single" w:color="000000" w:sz="4" w:space="0"/>
            </w:tcBorders>
            <w:vAlign w:val="center"/>
          </w:tcPr>
          <w:p w14:paraId="5157E864">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1</w:t>
            </w:r>
          </w:p>
        </w:tc>
        <w:tc>
          <w:tcPr>
            <w:tcW w:w="990" w:type="dxa"/>
            <w:tcBorders>
              <w:top w:val="single" w:color="000000" w:sz="4" w:space="0"/>
              <w:left w:val="single" w:color="000000" w:sz="4" w:space="0"/>
              <w:bottom w:val="single" w:color="000000" w:sz="4" w:space="0"/>
              <w:right w:val="single" w:color="000000" w:sz="4" w:space="0"/>
            </w:tcBorders>
            <w:vAlign w:val="center"/>
          </w:tcPr>
          <w:p w14:paraId="347B1973">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套</w:t>
            </w:r>
          </w:p>
        </w:tc>
      </w:tr>
      <w:tr w14:paraId="01304120">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2585EC87">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云存储节点</w:t>
            </w:r>
          </w:p>
        </w:tc>
        <w:tc>
          <w:tcPr>
            <w:tcW w:w="3029" w:type="dxa"/>
            <w:tcBorders>
              <w:top w:val="single" w:color="000000" w:sz="4" w:space="0"/>
              <w:left w:val="single" w:color="000000" w:sz="4" w:space="0"/>
              <w:bottom w:val="single" w:color="000000" w:sz="4" w:space="0"/>
              <w:right w:val="single" w:color="000000" w:sz="4" w:space="0"/>
            </w:tcBorders>
            <w:vAlign w:val="center"/>
          </w:tcPr>
          <w:p w14:paraId="1DCFADD1">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DH-CSS7149S-ERD</w:t>
            </w:r>
          </w:p>
        </w:tc>
        <w:tc>
          <w:tcPr>
            <w:tcW w:w="1260" w:type="dxa"/>
            <w:tcBorders>
              <w:top w:val="single" w:color="000000" w:sz="4" w:space="0"/>
              <w:left w:val="single" w:color="000000" w:sz="4" w:space="0"/>
              <w:bottom w:val="single" w:color="000000" w:sz="4" w:space="0"/>
              <w:right w:val="single" w:color="000000" w:sz="4" w:space="0"/>
            </w:tcBorders>
            <w:vAlign w:val="center"/>
          </w:tcPr>
          <w:p w14:paraId="434BFC4C">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4</w:t>
            </w:r>
          </w:p>
        </w:tc>
        <w:tc>
          <w:tcPr>
            <w:tcW w:w="990" w:type="dxa"/>
            <w:tcBorders>
              <w:top w:val="single" w:color="000000" w:sz="4" w:space="0"/>
              <w:left w:val="single" w:color="000000" w:sz="4" w:space="0"/>
              <w:bottom w:val="single" w:color="000000" w:sz="4" w:space="0"/>
              <w:right w:val="single" w:color="000000" w:sz="4" w:space="0"/>
            </w:tcBorders>
            <w:vAlign w:val="center"/>
          </w:tcPr>
          <w:p w14:paraId="551AD37D">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台</w:t>
            </w:r>
          </w:p>
        </w:tc>
      </w:tr>
      <w:tr w14:paraId="17F23765">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333F0C84">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视频存储硬盘</w:t>
            </w:r>
          </w:p>
        </w:tc>
        <w:tc>
          <w:tcPr>
            <w:tcW w:w="3029" w:type="dxa"/>
            <w:tcBorders>
              <w:top w:val="single" w:color="000000" w:sz="4" w:space="0"/>
              <w:left w:val="single" w:color="000000" w:sz="4" w:space="0"/>
              <w:bottom w:val="single" w:color="000000" w:sz="4" w:space="0"/>
              <w:right w:val="single" w:color="000000" w:sz="4" w:space="0"/>
            </w:tcBorders>
            <w:vAlign w:val="center"/>
          </w:tcPr>
          <w:p w14:paraId="14CFFE05">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ST4000NM0033</w:t>
            </w:r>
          </w:p>
        </w:tc>
        <w:tc>
          <w:tcPr>
            <w:tcW w:w="1260" w:type="dxa"/>
            <w:tcBorders>
              <w:top w:val="single" w:color="000000" w:sz="4" w:space="0"/>
              <w:left w:val="single" w:color="000000" w:sz="4" w:space="0"/>
              <w:bottom w:val="single" w:color="000000" w:sz="4" w:space="0"/>
              <w:right w:val="single" w:color="000000" w:sz="4" w:space="0"/>
            </w:tcBorders>
            <w:vAlign w:val="center"/>
          </w:tcPr>
          <w:p w14:paraId="0A50D189">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192</w:t>
            </w:r>
          </w:p>
        </w:tc>
        <w:tc>
          <w:tcPr>
            <w:tcW w:w="990" w:type="dxa"/>
            <w:tcBorders>
              <w:top w:val="single" w:color="000000" w:sz="4" w:space="0"/>
              <w:left w:val="single" w:color="000000" w:sz="4" w:space="0"/>
              <w:bottom w:val="single" w:color="000000" w:sz="4" w:space="0"/>
              <w:right w:val="single" w:color="000000" w:sz="4" w:space="0"/>
            </w:tcBorders>
            <w:vAlign w:val="center"/>
          </w:tcPr>
          <w:p w14:paraId="59832A14">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块</w:t>
            </w:r>
          </w:p>
        </w:tc>
      </w:tr>
      <w:tr w14:paraId="61DCF5DD">
        <w:tblPrEx>
          <w:tblCellMar>
            <w:top w:w="0" w:type="dxa"/>
            <w:left w:w="108" w:type="dxa"/>
            <w:bottom w:w="0" w:type="dxa"/>
            <w:right w:w="108" w:type="dxa"/>
          </w:tblCellMar>
        </w:tblPrEx>
        <w:trPr>
          <w:trHeight w:val="9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4243CBB3">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核心交换机</w:t>
            </w:r>
          </w:p>
        </w:tc>
        <w:tc>
          <w:tcPr>
            <w:tcW w:w="3029" w:type="dxa"/>
            <w:tcBorders>
              <w:top w:val="single" w:color="000000" w:sz="4" w:space="0"/>
              <w:left w:val="single" w:color="000000" w:sz="4" w:space="0"/>
              <w:bottom w:val="single" w:color="000000" w:sz="4" w:space="0"/>
              <w:right w:val="single" w:color="000000" w:sz="4" w:space="0"/>
            </w:tcBorders>
            <w:vAlign w:val="center"/>
          </w:tcPr>
          <w:p w14:paraId="3DEA59BC">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S10500 V7</w:t>
            </w:r>
          </w:p>
        </w:tc>
        <w:tc>
          <w:tcPr>
            <w:tcW w:w="1260" w:type="dxa"/>
            <w:tcBorders>
              <w:top w:val="single" w:color="000000" w:sz="4" w:space="0"/>
              <w:left w:val="single" w:color="000000" w:sz="4" w:space="0"/>
              <w:bottom w:val="single" w:color="000000" w:sz="4" w:space="0"/>
              <w:right w:val="single" w:color="000000" w:sz="4" w:space="0"/>
            </w:tcBorders>
            <w:vAlign w:val="center"/>
          </w:tcPr>
          <w:p w14:paraId="6281549E">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1</w:t>
            </w:r>
          </w:p>
        </w:tc>
        <w:tc>
          <w:tcPr>
            <w:tcW w:w="990" w:type="dxa"/>
            <w:tcBorders>
              <w:top w:val="single" w:color="000000" w:sz="4" w:space="0"/>
              <w:left w:val="single" w:color="000000" w:sz="4" w:space="0"/>
              <w:bottom w:val="single" w:color="000000" w:sz="4" w:space="0"/>
              <w:right w:val="single" w:color="000000" w:sz="4" w:space="0"/>
            </w:tcBorders>
            <w:vAlign w:val="center"/>
          </w:tcPr>
          <w:p w14:paraId="16980AA4">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台</w:t>
            </w:r>
          </w:p>
        </w:tc>
      </w:tr>
      <w:tr w14:paraId="03D8AFF9">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74D119A4">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智能交通终合管理平台</w:t>
            </w:r>
          </w:p>
        </w:tc>
        <w:tc>
          <w:tcPr>
            <w:tcW w:w="3029" w:type="dxa"/>
            <w:tcBorders>
              <w:top w:val="single" w:color="000000" w:sz="4" w:space="0"/>
              <w:left w:val="single" w:color="000000" w:sz="4" w:space="0"/>
              <w:bottom w:val="single" w:color="000000" w:sz="4" w:space="0"/>
              <w:right w:val="single" w:color="000000" w:sz="4" w:space="0"/>
            </w:tcBorders>
            <w:vAlign w:val="center"/>
          </w:tcPr>
          <w:p w14:paraId="14D19A2C">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DH-DSS</w:t>
            </w:r>
          </w:p>
        </w:tc>
        <w:tc>
          <w:tcPr>
            <w:tcW w:w="1260" w:type="dxa"/>
            <w:tcBorders>
              <w:top w:val="single" w:color="000000" w:sz="4" w:space="0"/>
              <w:left w:val="single" w:color="000000" w:sz="4" w:space="0"/>
              <w:bottom w:val="single" w:color="000000" w:sz="4" w:space="0"/>
              <w:right w:val="single" w:color="000000" w:sz="4" w:space="0"/>
            </w:tcBorders>
            <w:vAlign w:val="center"/>
          </w:tcPr>
          <w:p w14:paraId="48144B8C">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1</w:t>
            </w:r>
          </w:p>
        </w:tc>
        <w:tc>
          <w:tcPr>
            <w:tcW w:w="990" w:type="dxa"/>
            <w:tcBorders>
              <w:top w:val="single" w:color="000000" w:sz="4" w:space="0"/>
              <w:left w:val="single" w:color="000000" w:sz="4" w:space="0"/>
              <w:bottom w:val="single" w:color="000000" w:sz="4" w:space="0"/>
              <w:right w:val="single" w:color="000000" w:sz="4" w:space="0"/>
            </w:tcBorders>
            <w:vAlign w:val="center"/>
          </w:tcPr>
          <w:p w14:paraId="4DA3113A">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套</w:t>
            </w:r>
          </w:p>
        </w:tc>
      </w:tr>
      <w:tr w14:paraId="43195F5F">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2AE38507">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卡口应用服务器</w:t>
            </w:r>
          </w:p>
        </w:tc>
        <w:tc>
          <w:tcPr>
            <w:tcW w:w="3029" w:type="dxa"/>
            <w:tcBorders>
              <w:top w:val="single" w:color="000000" w:sz="4" w:space="0"/>
              <w:left w:val="single" w:color="000000" w:sz="4" w:space="0"/>
              <w:bottom w:val="single" w:color="000000" w:sz="4" w:space="0"/>
              <w:right w:val="single" w:color="000000" w:sz="4" w:space="0"/>
            </w:tcBorders>
            <w:vAlign w:val="center"/>
          </w:tcPr>
          <w:p w14:paraId="75731F67">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 xml:space="preserve">NF5270M4 </w:t>
            </w:r>
          </w:p>
        </w:tc>
        <w:tc>
          <w:tcPr>
            <w:tcW w:w="1260" w:type="dxa"/>
            <w:tcBorders>
              <w:top w:val="single" w:color="000000" w:sz="4" w:space="0"/>
              <w:left w:val="single" w:color="000000" w:sz="4" w:space="0"/>
              <w:bottom w:val="single" w:color="000000" w:sz="4" w:space="0"/>
              <w:right w:val="single" w:color="000000" w:sz="4" w:space="0"/>
            </w:tcBorders>
            <w:vAlign w:val="center"/>
          </w:tcPr>
          <w:p w14:paraId="5C88A5A8">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3</w:t>
            </w:r>
          </w:p>
        </w:tc>
        <w:tc>
          <w:tcPr>
            <w:tcW w:w="990" w:type="dxa"/>
            <w:tcBorders>
              <w:top w:val="single" w:color="000000" w:sz="4" w:space="0"/>
              <w:left w:val="single" w:color="000000" w:sz="4" w:space="0"/>
              <w:bottom w:val="single" w:color="000000" w:sz="4" w:space="0"/>
              <w:right w:val="single" w:color="000000" w:sz="4" w:space="0"/>
            </w:tcBorders>
            <w:vAlign w:val="center"/>
          </w:tcPr>
          <w:p w14:paraId="014805F6">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台</w:t>
            </w:r>
          </w:p>
        </w:tc>
      </w:tr>
      <w:tr w14:paraId="1BF37916">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3F6C9169">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UPS</w:t>
            </w:r>
          </w:p>
        </w:tc>
        <w:tc>
          <w:tcPr>
            <w:tcW w:w="3029" w:type="dxa"/>
            <w:tcBorders>
              <w:top w:val="single" w:color="000000" w:sz="4" w:space="0"/>
              <w:left w:val="single" w:color="000000" w:sz="4" w:space="0"/>
              <w:bottom w:val="single" w:color="000000" w:sz="4" w:space="0"/>
              <w:right w:val="single" w:color="000000" w:sz="4" w:space="0"/>
            </w:tcBorders>
            <w:vAlign w:val="center"/>
          </w:tcPr>
          <w:p w14:paraId="43133C8A">
            <w:pPr>
              <w:widowControl/>
              <w:jc w:val="left"/>
              <w:textAlignment w:val="center"/>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易事特</w:t>
            </w:r>
          </w:p>
        </w:tc>
        <w:tc>
          <w:tcPr>
            <w:tcW w:w="1260" w:type="dxa"/>
            <w:tcBorders>
              <w:top w:val="single" w:color="000000" w:sz="4" w:space="0"/>
              <w:left w:val="single" w:color="000000" w:sz="4" w:space="0"/>
              <w:bottom w:val="single" w:color="000000" w:sz="4" w:space="0"/>
              <w:right w:val="single" w:color="000000" w:sz="4" w:space="0"/>
            </w:tcBorders>
            <w:vAlign w:val="center"/>
          </w:tcPr>
          <w:p w14:paraId="54065A57">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1</w:t>
            </w:r>
          </w:p>
        </w:tc>
        <w:tc>
          <w:tcPr>
            <w:tcW w:w="990" w:type="dxa"/>
            <w:tcBorders>
              <w:top w:val="single" w:color="000000" w:sz="4" w:space="0"/>
              <w:left w:val="single" w:color="000000" w:sz="4" w:space="0"/>
              <w:bottom w:val="single" w:color="000000" w:sz="4" w:space="0"/>
              <w:right w:val="single" w:color="000000" w:sz="4" w:space="0"/>
            </w:tcBorders>
            <w:vAlign w:val="center"/>
          </w:tcPr>
          <w:p w14:paraId="12C49E24">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套</w:t>
            </w:r>
          </w:p>
        </w:tc>
      </w:tr>
      <w:tr w14:paraId="7C13524B">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667908B2">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安全传输设备</w:t>
            </w:r>
          </w:p>
        </w:tc>
        <w:tc>
          <w:tcPr>
            <w:tcW w:w="3029" w:type="dxa"/>
            <w:tcBorders>
              <w:top w:val="single" w:color="000000" w:sz="4" w:space="0"/>
              <w:left w:val="single" w:color="000000" w:sz="4" w:space="0"/>
              <w:bottom w:val="single" w:color="000000" w:sz="4" w:space="0"/>
              <w:right w:val="single" w:color="000000" w:sz="4" w:space="0"/>
            </w:tcBorders>
            <w:vAlign w:val="center"/>
          </w:tcPr>
          <w:p w14:paraId="4C4F8E59">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TG7269-F</w:t>
            </w:r>
          </w:p>
        </w:tc>
        <w:tc>
          <w:tcPr>
            <w:tcW w:w="1260" w:type="dxa"/>
            <w:tcBorders>
              <w:top w:val="single" w:color="000000" w:sz="4" w:space="0"/>
              <w:left w:val="single" w:color="000000" w:sz="4" w:space="0"/>
              <w:bottom w:val="single" w:color="000000" w:sz="4" w:space="0"/>
              <w:right w:val="single" w:color="000000" w:sz="4" w:space="0"/>
            </w:tcBorders>
            <w:vAlign w:val="center"/>
          </w:tcPr>
          <w:p w14:paraId="2314C593">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1</w:t>
            </w:r>
          </w:p>
        </w:tc>
        <w:tc>
          <w:tcPr>
            <w:tcW w:w="990" w:type="dxa"/>
            <w:tcBorders>
              <w:top w:val="single" w:color="000000" w:sz="4" w:space="0"/>
              <w:left w:val="single" w:color="000000" w:sz="4" w:space="0"/>
              <w:bottom w:val="single" w:color="000000" w:sz="4" w:space="0"/>
              <w:right w:val="single" w:color="000000" w:sz="4" w:space="0"/>
            </w:tcBorders>
            <w:vAlign w:val="center"/>
          </w:tcPr>
          <w:p w14:paraId="6EEC58B0">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台</w:t>
            </w:r>
          </w:p>
        </w:tc>
      </w:tr>
      <w:tr w14:paraId="7C7C8199">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4ABC71FD">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LED交通诱导屏</w:t>
            </w:r>
          </w:p>
        </w:tc>
        <w:tc>
          <w:tcPr>
            <w:tcW w:w="3029" w:type="dxa"/>
            <w:tcBorders>
              <w:top w:val="single" w:color="000000" w:sz="4" w:space="0"/>
              <w:left w:val="single" w:color="000000" w:sz="4" w:space="0"/>
              <w:bottom w:val="single" w:color="000000" w:sz="4" w:space="0"/>
              <w:right w:val="single" w:color="000000" w:sz="4" w:space="0"/>
            </w:tcBorders>
            <w:vAlign w:val="center"/>
          </w:tcPr>
          <w:p w14:paraId="3A6DD77E">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DH-PHTA(D)16</w:t>
            </w:r>
          </w:p>
        </w:tc>
        <w:tc>
          <w:tcPr>
            <w:tcW w:w="1260" w:type="dxa"/>
            <w:tcBorders>
              <w:top w:val="single" w:color="000000" w:sz="4" w:space="0"/>
              <w:left w:val="single" w:color="000000" w:sz="4" w:space="0"/>
              <w:bottom w:val="single" w:color="000000" w:sz="4" w:space="0"/>
              <w:right w:val="single" w:color="000000" w:sz="4" w:space="0"/>
            </w:tcBorders>
            <w:vAlign w:val="center"/>
          </w:tcPr>
          <w:p w14:paraId="22F0DBC9">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20</w:t>
            </w:r>
          </w:p>
        </w:tc>
        <w:tc>
          <w:tcPr>
            <w:tcW w:w="990" w:type="dxa"/>
            <w:tcBorders>
              <w:top w:val="single" w:color="000000" w:sz="4" w:space="0"/>
              <w:left w:val="single" w:color="000000" w:sz="4" w:space="0"/>
              <w:bottom w:val="single" w:color="000000" w:sz="4" w:space="0"/>
              <w:right w:val="single" w:color="000000" w:sz="4" w:space="0"/>
            </w:tcBorders>
            <w:vAlign w:val="center"/>
          </w:tcPr>
          <w:p w14:paraId="0D2C6DC9">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套</w:t>
            </w:r>
          </w:p>
        </w:tc>
      </w:tr>
      <w:tr w14:paraId="3BF2272F">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4F84B2A8">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视频交通事件检测器</w:t>
            </w:r>
          </w:p>
        </w:tc>
        <w:tc>
          <w:tcPr>
            <w:tcW w:w="3029" w:type="dxa"/>
            <w:tcBorders>
              <w:top w:val="single" w:color="000000" w:sz="4" w:space="0"/>
              <w:left w:val="single" w:color="000000" w:sz="4" w:space="0"/>
              <w:bottom w:val="single" w:color="000000" w:sz="4" w:space="0"/>
              <w:right w:val="single" w:color="000000" w:sz="4" w:space="0"/>
            </w:tcBorders>
            <w:vAlign w:val="center"/>
          </w:tcPr>
          <w:p w14:paraId="30C6BC69">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DH-IVS-T5008</w:t>
            </w:r>
          </w:p>
        </w:tc>
        <w:tc>
          <w:tcPr>
            <w:tcW w:w="1260" w:type="dxa"/>
            <w:tcBorders>
              <w:top w:val="single" w:color="000000" w:sz="4" w:space="0"/>
              <w:left w:val="single" w:color="000000" w:sz="4" w:space="0"/>
              <w:bottom w:val="single" w:color="000000" w:sz="4" w:space="0"/>
              <w:right w:val="single" w:color="000000" w:sz="4" w:space="0"/>
            </w:tcBorders>
            <w:vAlign w:val="center"/>
          </w:tcPr>
          <w:p w14:paraId="5336D8C4">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16</w:t>
            </w:r>
          </w:p>
        </w:tc>
        <w:tc>
          <w:tcPr>
            <w:tcW w:w="990" w:type="dxa"/>
            <w:tcBorders>
              <w:top w:val="single" w:color="000000" w:sz="4" w:space="0"/>
              <w:left w:val="single" w:color="000000" w:sz="4" w:space="0"/>
              <w:bottom w:val="single" w:color="000000" w:sz="4" w:space="0"/>
              <w:right w:val="single" w:color="000000" w:sz="4" w:space="0"/>
            </w:tcBorders>
            <w:vAlign w:val="center"/>
          </w:tcPr>
          <w:p w14:paraId="7A26C21F">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台</w:t>
            </w:r>
          </w:p>
        </w:tc>
      </w:tr>
      <w:tr w14:paraId="73E71445">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53D5FCBB">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交通联动服务器</w:t>
            </w:r>
          </w:p>
        </w:tc>
        <w:tc>
          <w:tcPr>
            <w:tcW w:w="3029" w:type="dxa"/>
            <w:tcBorders>
              <w:top w:val="single" w:color="000000" w:sz="4" w:space="0"/>
              <w:left w:val="single" w:color="000000" w:sz="4" w:space="0"/>
              <w:bottom w:val="single" w:color="000000" w:sz="4" w:space="0"/>
              <w:right w:val="single" w:color="000000" w:sz="4" w:space="0"/>
            </w:tcBorders>
            <w:vAlign w:val="center"/>
          </w:tcPr>
          <w:p w14:paraId="534D76C9">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DH-DSS-T8130</w:t>
            </w:r>
          </w:p>
        </w:tc>
        <w:tc>
          <w:tcPr>
            <w:tcW w:w="1260" w:type="dxa"/>
            <w:tcBorders>
              <w:top w:val="single" w:color="000000" w:sz="4" w:space="0"/>
              <w:left w:val="single" w:color="000000" w:sz="4" w:space="0"/>
              <w:bottom w:val="single" w:color="000000" w:sz="4" w:space="0"/>
              <w:right w:val="single" w:color="000000" w:sz="4" w:space="0"/>
            </w:tcBorders>
            <w:vAlign w:val="center"/>
          </w:tcPr>
          <w:p w14:paraId="5DD2E997">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1</w:t>
            </w:r>
          </w:p>
        </w:tc>
        <w:tc>
          <w:tcPr>
            <w:tcW w:w="990" w:type="dxa"/>
            <w:tcBorders>
              <w:top w:val="single" w:color="000000" w:sz="4" w:space="0"/>
              <w:left w:val="single" w:color="000000" w:sz="4" w:space="0"/>
              <w:bottom w:val="single" w:color="000000" w:sz="4" w:space="0"/>
              <w:right w:val="single" w:color="000000" w:sz="4" w:space="0"/>
            </w:tcBorders>
            <w:vAlign w:val="center"/>
          </w:tcPr>
          <w:p w14:paraId="7F582742">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台</w:t>
            </w:r>
          </w:p>
        </w:tc>
      </w:tr>
      <w:tr w14:paraId="213B0FF8">
        <w:tblPrEx>
          <w:tblCellMar>
            <w:top w:w="0" w:type="dxa"/>
            <w:left w:w="108" w:type="dxa"/>
            <w:bottom w:w="0" w:type="dxa"/>
            <w:right w:w="108" w:type="dxa"/>
          </w:tblCellMar>
        </w:tblPrEx>
        <w:trPr>
          <w:trHeight w:val="270" w:hRule="atLeast"/>
        </w:trPr>
        <w:tc>
          <w:tcPr>
            <w:tcW w:w="3120" w:type="dxa"/>
            <w:tcBorders>
              <w:top w:val="single" w:color="000000" w:sz="4" w:space="0"/>
              <w:left w:val="single" w:color="000000" w:sz="4" w:space="0"/>
              <w:bottom w:val="single" w:color="000000" w:sz="4" w:space="0"/>
              <w:right w:val="single" w:color="000000" w:sz="4" w:space="0"/>
            </w:tcBorders>
            <w:vAlign w:val="center"/>
          </w:tcPr>
          <w:p w14:paraId="0301A0AB">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LED交通诱导信息发布服务器</w:t>
            </w:r>
          </w:p>
        </w:tc>
        <w:tc>
          <w:tcPr>
            <w:tcW w:w="3029" w:type="dxa"/>
            <w:tcBorders>
              <w:top w:val="single" w:color="000000" w:sz="4" w:space="0"/>
              <w:left w:val="single" w:color="000000" w:sz="4" w:space="0"/>
              <w:bottom w:val="single" w:color="000000" w:sz="4" w:space="0"/>
              <w:right w:val="single" w:color="000000" w:sz="4" w:space="0"/>
            </w:tcBorders>
            <w:vAlign w:val="center"/>
          </w:tcPr>
          <w:p w14:paraId="707D6E80">
            <w:pPr>
              <w:widowControl/>
              <w:jc w:val="left"/>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DH-DSS-T8140</w:t>
            </w:r>
          </w:p>
        </w:tc>
        <w:tc>
          <w:tcPr>
            <w:tcW w:w="1260" w:type="dxa"/>
            <w:tcBorders>
              <w:top w:val="single" w:color="000000" w:sz="4" w:space="0"/>
              <w:left w:val="single" w:color="000000" w:sz="4" w:space="0"/>
              <w:bottom w:val="single" w:color="000000" w:sz="4" w:space="0"/>
              <w:right w:val="single" w:color="000000" w:sz="4" w:space="0"/>
            </w:tcBorders>
            <w:vAlign w:val="center"/>
          </w:tcPr>
          <w:p w14:paraId="17050F0E">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1</w:t>
            </w:r>
          </w:p>
        </w:tc>
        <w:tc>
          <w:tcPr>
            <w:tcW w:w="990" w:type="dxa"/>
            <w:tcBorders>
              <w:top w:val="single" w:color="000000" w:sz="4" w:space="0"/>
              <w:left w:val="single" w:color="000000" w:sz="4" w:space="0"/>
              <w:bottom w:val="single" w:color="000000" w:sz="4" w:space="0"/>
              <w:right w:val="single" w:color="000000" w:sz="4" w:space="0"/>
            </w:tcBorders>
            <w:vAlign w:val="center"/>
          </w:tcPr>
          <w:p w14:paraId="381F3B84">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rPr>
              <w:t>台</w:t>
            </w:r>
          </w:p>
        </w:tc>
      </w:tr>
    </w:tbl>
    <w:p w14:paraId="71E06ED6">
      <w:pPr>
        <w:rPr>
          <w:rFonts w:hint="eastAsia" w:ascii="宋体" w:hAnsi="宋体"/>
          <w:b/>
          <w:bCs/>
          <w:color w:val="auto"/>
          <w:sz w:val="24"/>
          <w:highlight w:val="none"/>
        </w:rPr>
      </w:pPr>
    </w:p>
    <w:p w14:paraId="4A090E77">
      <w:pPr>
        <w:spacing w:line="360" w:lineRule="auto"/>
        <w:rPr>
          <w:rFonts w:hint="eastAsia" w:ascii="宋体" w:hAnsi="宋体" w:cs="宋体"/>
          <w:b/>
          <w:bCs/>
          <w:color w:val="auto"/>
          <w:sz w:val="24"/>
          <w:highlight w:val="none"/>
        </w:rPr>
      </w:pPr>
      <w:bookmarkStart w:id="60" w:name="_Toc9474"/>
      <w:bookmarkStart w:id="61" w:name="_Toc188361896"/>
      <w:r>
        <w:rPr>
          <w:rFonts w:hint="eastAsia" w:ascii="宋体" w:hAnsi="宋体" w:cs="宋体"/>
          <w:b/>
          <w:bCs/>
          <w:color w:val="auto"/>
          <w:sz w:val="24"/>
          <w:highlight w:val="none"/>
        </w:rPr>
        <w:t>3、主要问题和存在差距</w:t>
      </w:r>
      <w:bookmarkEnd w:id="60"/>
      <w:bookmarkEnd w:id="61"/>
    </w:p>
    <w:p w14:paraId="587CB57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原有交通管理科技设备在周口高速智能交通管理发展过程中为城区交通安全畅顺发挥了重要作用，但随着社会经济的快速发展及路网结构的日趋完善，原有交通管理科技设备已难以满足交通管控的需求。具体表现为：</w:t>
      </w:r>
    </w:p>
    <w:p w14:paraId="434B301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一是交通视频监视系统建设点位像素过低，无法实现对全量过车数据进行完整抓拍；并且原有抓拍设备和补光灯不满足新标准的要求（《交通技术监控成像补光装置通用技术条件》（GA/T 1202-2022））公安部的标准要求对补光灯的光照度提出了新要求，以预防眩光为目标提出补光装置的设置要求关键指标：频爆亮度＜80lx。已建的高速卡口项目所用的前端设备使用的是十年前的技术，均不符合该文件的要求。2023年3月15日河南省公安交通警察总队下发《关于下发&lt;河南省规范道路交通监控设备补光装置设置专项整治工作方案&gt;的通知》、3月29日下发《河南省规范道路交通监控设备补光装置设置专项整治工作方案》，要求对不符合要求的补光装置限期整改，对隐患点位进行停用补光装置或者更换监控设备。</w:t>
      </w:r>
    </w:p>
    <w:p w14:paraId="368188C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二是缺乏交通信息发布方式，目前的交通信息发布仅局限于固定发布一些交通管理信息，缺乏针对实时动态交通诱导信息发布能力。</w:t>
      </w:r>
    </w:p>
    <w:p w14:paraId="2267FAC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三是未建设智能交通融合平台，无法对各基础应用系统进行统一的管理控制，各基础应用系统未实现信息的共享应用，交通管理信息不能基于 GIS 系统进行直观的显示、统计、分析。</w:t>
      </w:r>
    </w:p>
    <w:p w14:paraId="0A0C73A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四是未建设视频图像信息库，老的系统不符合GA/T 1400-2017《公安视频图像信息应用系统》协议，无法通过该协议接口和市局平台对接。</w:t>
      </w:r>
    </w:p>
    <w:p w14:paraId="1ABD4222">
      <w:pPr>
        <w:pStyle w:val="5"/>
        <w:numPr>
          <w:ilvl w:val="0"/>
          <w:numId w:val="21"/>
        </w:numPr>
        <w:spacing w:before="200" w:after="200" w:line="360" w:lineRule="auto"/>
        <w:rPr>
          <w:color w:val="auto"/>
          <w:highlight w:val="none"/>
        </w:rPr>
      </w:pPr>
      <w:r>
        <w:rPr>
          <w:rFonts w:hint="eastAsia"/>
          <w:color w:val="auto"/>
          <w:highlight w:val="none"/>
        </w:rPr>
        <w:t>服务内容及相关要求：</w:t>
      </w:r>
    </w:p>
    <w:p w14:paraId="699EC6E0">
      <w:pPr>
        <w:spacing w:line="360" w:lineRule="auto"/>
        <w:ind w:left="482" w:hanging="482" w:hangingChars="200"/>
        <w:rPr>
          <w:rFonts w:hint="eastAsia" w:ascii="宋体" w:hAnsi="宋体" w:cs="宋体"/>
          <w:b/>
          <w:bCs/>
          <w:color w:val="auto"/>
          <w:sz w:val="24"/>
          <w:highlight w:val="none"/>
        </w:rPr>
      </w:pPr>
      <w:bookmarkStart w:id="62" w:name="_Toc13686"/>
      <w:bookmarkStart w:id="63" w:name="_Toc137542393"/>
      <w:r>
        <w:rPr>
          <w:rFonts w:hint="eastAsia" w:ascii="宋体" w:hAnsi="宋体" w:cs="宋体"/>
          <w:b/>
          <w:bCs/>
          <w:color w:val="auto"/>
          <w:sz w:val="24"/>
          <w:highlight w:val="none"/>
        </w:rPr>
        <w:t>1、通过公开招标择优选定周口市公安局高速卡口信息化升级改造及运维项目维护单位。</w:t>
      </w:r>
    </w:p>
    <w:p w14:paraId="0B4065E1">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1.1升级改造及维修维护地点：各设备高速公路安装地点。</w:t>
      </w:r>
    </w:p>
    <w:p w14:paraId="40912ECC">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1.2升级及维护范围：升级及维护范围为本次项目采购服务需求清单内所有内容，维护内容包括设备日常保养、检修、故障修理、部件更换、配合设备检测检定等保持系统正常运转的相关设备升级改造及维护工作。</w:t>
      </w:r>
    </w:p>
    <w:p w14:paraId="1CBD1B95">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1.3服务要求：设备升级改造及运维，提供技术指导、运输、安装、维修、运维、24小时人员响应，保证实施项目的完整落地及运行。</w:t>
      </w:r>
    </w:p>
    <w:p w14:paraId="1DD7E3F2">
      <w:pPr>
        <w:spacing w:line="360" w:lineRule="auto"/>
        <w:rPr>
          <w:rFonts w:hint="eastAsia" w:ascii="宋体" w:hAnsi="宋体" w:cs="宋体"/>
          <w:color w:val="auto"/>
          <w:sz w:val="24"/>
          <w:highlight w:val="none"/>
        </w:rPr>
      </w:pPr>
      <w:r>
        <w:rPr>
          <w:rFonts w:hint="eastAsia" w:ascii="宋体" w:hAnsi="宋体" w:cs="宋体"/>
          <w:color w:val="auto"/>
          <w:sz w:val="24"/>
          <w:highlight w:val="none"/>
        </w:rPr>
        <w:t>1.4升级改造期限：合同签订后3个月内完成升级改造，调试运行正常。</w:t>
      </w:r>
    </w:p>
    <w:p w14:paraId="7E5072F5">
      <w:pPr>
        <w:spacing w:line="360" w:lineRule="auto"/>
        <w:rPr>
          <w:rFonts w:hint="eastAsia" w:ascii="宋体" w:hAnsi="宋体" w:cs="宋体"/>
          <w:color w:val="auto"/>
          <w:sz w:val="24"/>
          <w:highlight w:val="none"/>
        </w:rPr>
      </w:pPr>
      <w:r>
        <w:rPr>
          <w:rFonts w:hint="eastAsia" w:ascii="宋体" w:hAnsi="宋体" w:cs="宋体"/>
          <w:color w:val="auto"/>
          <w:sz w:val="24"/>
          <w:highlight w:val="none"/>
        </w:rPr>
        <w:t>1.5服务期限：项目验收合格后3年。</w:t>
      </w:r>
    </w:p>
    <w:p w14:paraId="6F571C1C">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2、前端施工</w:t>
      </w:r>
      <w:bookmarkEnd w:id="62"/>
    </w:p>
    <w:p w14:paraId="7BDE48CB">
      <w:pPr>
        <w:spacing w:line="360" w:lineRule="auto"/>
        <w:ind w:firstLine="480" w:firstLineChars="200"/>
        <w:rPr>
          <w:rFonts w:hint="eastAsia" w:ascii="宋体" w:hAnsi="宋体" w:cs="宋体"/>
          <w:color w:val="auto"/>
          <w:sz w:val="24"/>
          <w:highlight w:val="none"/>
        </w:rPr>
      </w:pPr>
      <w:bookmarkStart w:id="64" w:name="_Toc188361930"/>
      <w:bookmarkStart w:id="65" w:name="_Toc451267466"/>
      <w:r>
        <w:rPr>
          <w:rFonts w:hint="eastAsia" w:ascii="宋体" w:hAnsi="宋体" w:cs="宋体"/>
          <w:color w:val="auto"/>
          <w:sz w:val="24"/>
          <w:highlight w:val="none"/>
        </w:rPr>
        <w:t>前端施工是高速信息发布系统建设的关键环节，涉及设备安装、线路部署及系统调试等多个步骤，具体工作内容如下：</w:t>
      </w:r>
    </w:p>
    <w:p w14:paraId="199B7FD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道路封闭与交通疏导：施工前需制定详细的交通组织方案，设置警示标志、锥桶及引导牌，并安排专人指挥，确保施工期间道路通行安全。</w:t>
      </w:r>
    </w:p>
    <w:p w14:paraId="7D8545A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登高车租赁与使用：根据设备安装高度需求，租赁合适规格的登高车，确保作业人员安全高效完成高空作业。</w:t>
      </w:r>
    </w:p>
    <w:p w14:paraId="7CCF22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原有设备及线路拆除：对旧设备（如摄像机、补光灯等）进行断电检测后拆除，并清理原有线缆，避免影响新系统部署。</w:t>
      </w:r>
    </w:p>
    <w:p w14:paraId="31786B0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线缆敷设：按照规范敷设网线、电源线、补光灯连接线及光缆，确保走线整齐、固定牢固，并做好防水、防雷保护。</w:t>
      </w:r>
    </w:p>
    <w:p w14:paraId="73AF763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设备安装与固定：包括高清摄像机、补光灯、终端服务器、球机、交通信息发布屏等设备的安装，调整摄像机角度与焦距，确保监控范围符合设计要求。</w:t>
      </w:r>
    </w:p>
    <w:p w14:paraId="2D56E11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系统调试：完成硬件安装后，进行网络连通性测试、设备参数配置及功能调试，确保图像传输稳定、补光效果达标，并与后端平台正常对接。</w:t>
      </w:r>
    </w:p>
    <w:p w14:paraId="79050EE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整个施工过程需严格遵循安全规范，确保施工质量与进度，保障系统稳定运行。</w:t>
      </w:r>
    </w:p>
    <w:p w14:paraId="521AC4C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采购方负责必要的施工协调工作。</w:t>
      </w:r>
    </w:p>
    <w:p w14:paraId="67FC2477">
      <w:pPr>
        <w:spacing w:line="360" w:lineRule="auto"/>
        <w:ind w:firstLine="480" w:firstLineChars="200"/>
        <w:jc w:val="left"/>
        <w:rPr>
          <w:rFonts w:hint="eastAsia" w:ascii="宋体" w:hAnsi="宋体" w:cs="仿宋_GB2312"/>
          <w:color w:val="auto"/>
          <w:kern w:val="0"/>
          <w:sz w:val="24"/>
          <w:highlight w:val="none"/>
        </w:rPr>
      </w:pPr>
      <w:r>
        <w:rPr>
          <w:rFonts w:hint="eastAsia" w:ascii="宋体" w:hAnsi="宋体" w:cs="仿宋_GB2312"/>
          <w:color w:val="auto"/>
          <w:kern w:val="0"/>
          <w:sz w:val="24"/>
          <w:highlight w:val="none"/>
        </w:rPr>
        <w:t>因施工造成的垃圾，由中标人负责清理。施工所用水电由中标人自行解决，费用均包含在中标的投标报价内。</w:t>
      </w:r>
    </w:p>
    <w:p w14:paraId="4F0FD414">
      <w:pPr>
        <w:spacing w:line="360" w:lineRule="auto"/>
        <w:rPr>
          <w:rFonts w:hint="eastAsia" w:ascii="宋体" w:hAnsi="宋体" w:cs="宋体"/>
          <w:b/>
          <w:bCs/>
          <w:color w:val="auto"/>
          <w:sz w:val="24"/>
          <w:highlight w:val="none"/>
        </w:rPr>
      </w:pPr>
      <w:bookmarkStart w:id="66" w:name="_Toc29317"/>
      <w:r>
        <w:rPr>
          <w:rFonts w:hint="eastAsia" w:ascii="宋体" w:hAnsi="宋体" w:cs="宋体"/>
          <w:b/>
          <w:bCs/>
          <w:color w:val="auto"/>
          <w:sz w:val="24"/>
          <w:highlight w:val="none"/>
        </w:rPr>
        <w:t>3、平台部署</w:t>
      </w:r>
      <w:bookmarkEnd w:id="66"/>
    </w:p>
    <w:p w14:paraId="2D47DDD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平台部署是高速卡口监控系统稳定运行的核心环节，主要包括硬件安装、软件配置及系统联调等工作，具体内容如下：</w:t>
      </w:r>
    </w:p>
    <w:p w14:paraId="3916E53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服务器上架：按照规划将服务器、存储设备及网络设备安装至机柜，完成电源及网络线路连接，确保设备固定牢固、散热良好。</w:t>
      </w:r>
    </w:p>
    <w:p w14:paraId="3E6338F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软件平台部署搭建：安装操作系统、数据库及信息发布管理软件，配置系统参数、用户权限及数据存储策略，确保平台功能完整、运行流畅。</w:t>
      </w:r>
    </w:p>
    <w:p w14:paraId="7F8DC72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摄像机添加与接入：将前端摄像机接入系统平台，配置IP地址、视频流协议及存储规则，并进行图像质量调优，确保监控画面清晰稳定。</w:t>
      </w:r>
    </w:p>
    <w:p w14:paraId="7D1E186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整体系统调试：对平台功能进行全面测试，包括信息发布、视频调取、告警联动等，验证系统稳定性及响应速度，确保各模块协同工作。</w:t>
      </w:r>
    </w:p>
    <w:p w14:paraId="069C182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通过规范的部署流程，保障平台高效稳定运行，满足高速公路信息化管理的需求。</w:t>
      </w:r>
    </w:p>
    <w:p w14:paraId="2D56F160">
      <w:pPr>
        <w:spacing w:line="360" w:lineRule="auto"/>
        <w:rPr>
          <w:rFonts w:hint="eastAsia" w:ascii="宋体" w:hAnsi="宋体" w:cs="宋体"/>
          <w:b/>
          <w:bCs/>
          <w:color w:val="auto"/>
          <w:sz w:val="24"/>
          <w:highlight w:val="none"/>
        </w:rPr>
      </w:pPr>
      <w:bookmarkStart w:id="67" w:name="_Toc6528"/>
      <w:r>
        <w:rPr>
          <w:rFonts w:hint="eastAsia" w:ascii="宋体" w:hAnsi="宋体" w:cs="宋体"/>
          <w:b/>
          <w:bCs/>
          <w:color w:val="auto"/>
          <w:sz w:val="24"/>
          <w:highlight w:val="none"/>
        </w:rPr>
        <w:t>4、运维服务</w:t>
      </w:r>
      <w:bookmarkEnd w:id="63"/>
      <w:bookmarkEnd w:id="64"/>
      <w:bookmarkEnd w:id="65"/>
      <w:bookmarkEnd w:id="67"/>
    </w:p>
    <w:p w14:paraId="7B76B09C">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4.1运维总体要求</w:t>
      </w:r>
    </w:p>
    <w:p w14:paraId="13624E7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仿宋_GB2312"/>
          <w:color w:val="auto"/>
          <w:kern w:val="0"/>
          <w:sz w:val="24"/>
          <w:highlight w:val="none"/>
        </w:rPr>
        <w:t>按照采购人提供的采购服务需求清单进行设备升级改造，</w:t>
      </w:r>
      <w:r>
        <w:rPr>
          <w:rFonts w:hint="eastAsia" w:ascii="宋体" w:hAnsi="宋体" w:cs="宋体"/>
          <w:color w:val="auto"/>
          <w:sz w:val="24"/>
          <w:highlight w:val="none"/>
        </w:rPr>
        <w:t>升级改造完成后，运维服务期三年，以实现“全域覆盖、全网共享、全时可用、全程可控 ”为总目标，提供服务范围内所有设备的运行维护服务，包括日常监控及巡检、故障诊断处理及维修、重大活动保障、系统升级及性能优化、资产管理、运维资料管理等，确保系统设备正常运行。对于目前仍处于免费质保期内的系统设备，配合制造商或集成商全面做好系统设备的售后服务，协助原厂工程师快速诊断、排除故障并恢复系统运行。</w:t>
      </w:r>
    </w:p>
    <w:p w14:paraId="3D69774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2、中标方需要保障前端设备平均在线率不低于95%，同时在线卡口抓拍率达到99%以上，提前备案的视频监控点位除外。</w:t>
      </w:r>
    </w:p>
    <w:p w14:paraId="1211101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需提前进行备案的视频监控点位为因城市管理专项行动、城市道路综合改造、高架、地铁、隧道、市政等工程施工导致短期内无法进行修复的点位，备案的视频监控点位需提供相关资料及现场照片，并且在工程施工完毕后三日内完成点位修复工作。</w:t>
      </w:r>
    </w:p>
    <w:p w14:paraId="33A433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4、须具有良好的本地化维保能力的工作团队，并根据用户需要合理调配各岗位人员，保障维保工作需要，建立并执行维保质量及工作绩效评估体系。</w:t>
      </w:r>
    </w:p>
    <w:p w14:paraId="3D53D9F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5、严守工作秘密，运维单位须与用户签署保密协议，对所知悉的事项及信息须严格保密，所有资料、技术文档妥善保管，不得遗失、转借、复印，不得以任何形式向第三方透露。</w:t>
      </w:r>
    </w:p>
    <w:p w14:paraId="54DDCEB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6、承担维保工作质量责任，严格遵循操作规程（范）。若因违反操作规程、调试检测或操作维护使用不当，造成系统设备损坏的，按照用户要求限期无条件恢复，并承担由此而带来的全部责任和损失。</w:t>
      </w:r>
    </w:p>
    <w:p w14:paraId="5C512C1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7、做好运维人员的岗位考核和管理，相关人员必须严格遵循用户的机关规范化管理及相关组织纪律、保密安全等工作要求。</w:t>
      </w:r>
    </w:p>
    <w:p w14:paraId="3115126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中标方需确保外场施工安全，根据《中华人民共和国道路交通安全法》等相关法律、法规和标准等要求，做好交通安全防范措施。在维护、检测等工作中，必须严格遵守相关法律法规，并按相关法律法规要求，制定和实施安全施工规范，包括人员安全防护装备等，保证安全。由于交通事故等原因发生的经济赔偿和诉讼等责任，全部由中标人承担，采购人不承担任何责任。</w:t>
      </w:r>
    </w:p>
    <w:p w14:paraId="106F94B2">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4.2前端设备运维服务工作内容</w:t>
      </w:r>
    </w:p>
    <w:p w14:paraId="23A828A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服务内容：车辆卡口系统（900万环保抓拍单元161 路、防眩光补光灯292台、智能终端管理设备79台）、400万智能球机（69路）、交通信息发布屏（20块）。</w:t>
      </w:r>
    </w:p>
    <w:p w14:paraId="052BC2F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服务流程：日常监控与巡检、故障处理及维修服务、重大活动保障、安全加固及参数调优服务、资产管理、运维资料管理、前端点位拆除与迁移。</w:t>
      </w:r>
    </w:p>
    <w:p w14:paraId="7AE45293">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4.3日常监控与巡检</w:t>
      </w:r>
    </w:p>
    <w:p w14:paraId="2440DC7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本项目的前端设备分布周口市高速路口及路段。对于存在故障的设备及时进行告警，通过运维流程进行工单分派，落实具体人员对故障进行现场解决，主要系统详细监控巡检内容和周期如下：</w:t>
      </w:r>
    </w:p>
    <w:p w14:paraId="6756C63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1、车辆卡口系统</w:t>
      </w:r>
    </w:p>
    <w:p w14:paraId="06FF88B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车辆卡口系统链路连接状态、网络设备端口状态和网络时延，确保承载网络符合车辆卡口系统运行质量要求；</w:t>
      </w:r>
    </w:p>
    <w:p w14:paraId="142CD90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根据网管监控平台实时告警信息，发现异常状况，及时处理；检查设备电气和传输性能，应符合设备的技术指标要求；</w:t>
      </w:r>
    </w:p>
    <w:p w14:paraId="178EC7B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检查高清抓拍单元是否自动识别车牌号、车牌颜色、车身颜色、车型等信息，发现异常状况，及时处理；</w:t>
      </w:r>
    </w:p>
    <w:p w14:paraId="5B91BAE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检测卡口补光灯是否正常，发现异常状况，及时处理；</w:t>
      </w:r>
    </w:p>
    <w:p w14:paraId="00BD46C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结构完整，安装符合技术规范要求，部件齐全，设备安装环境符合要求；技术资料齐全、完整，与设备相符；</w:t>
      </w:r>
    </w:p>
    <w:p w14:paraId="785125F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对于经常出现不明故障难以修复的要及时更换，坏件及时返修。</w:t>
      </w:r>
    </w:p>
    <w:p w14:paraId="5C2A879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2、400万智能球机</w:t>
      </w:r>
    </w:p>
    <w:p w14:paraId="66A091D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前端设备链路连接状态、网络设备端口状态，确保承载网络符合运行质量要求；根据运维平台实时告警信息，发现异常状况，及时处理；</w:t>
      </w:r>
    </w:p>
    <w:p w14:paraId="39077A6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受理业务部门前端故障申告；</w:t>
      </w:r>
    </w:p>
    <w:p w14:paraId="6EEEF1E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检查设备电气和传输性能，应符合设备的技术指标要求；根据业务部门需求申请，调整摄像头监控区域；</w:t>
      </w:r>
    </w:p>
    <w:p w14:paraId="5FC3A8E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结构完整，安装符合技术规范要求，部件齐全，设备安装环境符合要求；技术资料齐全、完整，与设备相符；</w:t>
      </w:r>
    </w:p>
    <w:p w14:paraId="70345CF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对于经常出现不明故障难以修复的要及时更换，坏件及时返修。</w:t>
      </w:r>
    </w:p>
    <w:p w14:paraId="23DE89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3、交通信息发布屏</w:t>
      </w:r>
    </w:p>
    <w:p w14:paraId="2B492395">
      <w:pPr>
        <w:spacing w:line="360" w:lineRule="auto"/>
        <w:ind w:firstLine="720" w:firstLineChars="300"/>
        <w:rPr>
          <w:rFonts w:hint="eastAsia" w:ascii="宋体" w:hAnsi="宋体" w:cs="宋体"/>
          <w:color w:val="auto"/>
          <w:sz w:val="24"/>
          <w:highlight w:val="none"/>
        </w:rPr>
      </w:pPr>
      <w:r>
        <w:rPr>
          <w:rFonts w:hint="eastAsia" w:ascii="宋体" w:hAnsi="宋体" w:cs="宋体"/>
          <w:color w:val="auto"/>
          <w:sz w:val="24"/>
          <w:highlight w:val="none"/>
        </w:rPr>
        <w:t>链路连接状态、网络设备端口状态和网络时延，确保承载网络符合信息发布系统运行质量要求；</w:t>
      </w:r>
    </w:p>
    <w:p w14:paraId="2FE6E0B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定期检查显示屏、控制器、电源、通信模块等硬件状态，确保无物理损坏、散热良好；</w:t>
      </w:r>
    </w:p>
    <w:p w14:paraId="4746F72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验证亮度、色彩、像素点是否正常，避免出现残影、闪烁或黑屏；</w:t>
      </w:r>
    </w:p>
    <w:p w14:paraId="0883D7D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检查设备电气和传输性能，应符合设备的技术指标要求；</w:t>
      </w:r>
    </w:p>
    <w:p w14:paraId="44FB98E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环境适应性：防雷、防潮、防尘措施到位，尤其在恶劣天气后需专项检查。</w:t>
      </w:r>
    </w:p>
    <w:p w14:paraId="03251123">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4.4故障处理及维修服务</w:t>
      </w:r>
    </w:p>
    <w:p w14:paraId="400F28E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1、运维团队提供 </w:t>
      </w:r>
      <w:r>
        <w:rPr>
          <w:rFonts w:hint="eastAsia" w:ascii="宋体" w:hAnsi="宋体" w:cs="仿宋_GB2312"/>
          <w:color w:val="auto"/>
          <w:kern w:val="0"/>
          <w:sz w:val="24"/>
          <w:highlight w:val="none"/>
        </w:rPr>
        <w:t>7×24小时响应制度</w:t>
      </w:r>
      <w:r>
        <w:rPr>
          <w:rFonts w:hint="eastAsia" w:ascii="宋体" w:hAnsi="宋体" w:cs="宋体"/>
          <w:color w:val="auto"/>
          <w:sz w:val="24"/>
          <w:highlight w:val="none"/>
        </w:rPr>
        <w:t>，</w:t>
      </w:r>
      <w:r>
        <w:rPr>
          <w:rFonts w:hint="eastAsia" w:ascii="宋体" w:hAnsi="宋体" w:cs="仿宋_GB2312"/>
          <w:color w:val="auto"/>
          <w:kern w:val="0"/>
          <w:sz w:val="24"/>
          <w:highlight w:val="none"/>
        </w:rPr>
        <w:t>保证故障能迅速恢复正常运行。</w:t>
      </w:r>
    </w:p>
    <w:p w14:paraId="20A21BA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2、运维团队在维修及维护工作中，</w:t>
      </w:r>
      <w:r>
        <w:rPr>
          <w:rFonts w:hint="eastAsia" w:ascii="宋体" w:hAnsi="宋体" w:cs="仿宋_GB2312"/>
          <w:color w:val="auto"/>
          <w:kern w:val="0"/>
          <w:sz w:val="24"/>
          <w:highlight w:val="none"/>
        </w:rPr>
        <w:t>中标方应备有充足配件。对于摄像机、镜头等主要部件，中标方应在服务期内始终保证随时提供每种主要部件配件，前端设备出现故障时应在6小时内更换配件，不得出现因部件损坏，未及时更换配件导致设备无法正常使用的情况。</w:t>
      </w:r>
      <w:r>
        <w:rPr>
          <w:rFonts w:hint="eastAsia" w:ascii="宋体" w:hAnsi="宋体" w:cs="宋体"/>
          <w:color w:val="auto"/>
          <w:sz w:val="24"/>
          <w:highlight w:val="none"/>
        </w:rPr>
        <w:t>若遇到特殊情况（如线路损坏等）， 无法立即修复的情况，必须首先提出维修方案并采取有效措施（如使用同类型备件暂时替换使用）尽量使故障时间减少到最短，以保证系统在最大限度内正常工作。</w:t>
      </w:r>
    </w:p>
    <w:p w14:paraId="060C1424">
      <w:pPr>
        <w:spacing w:line="360" w:lineRule="auto"/>
        <w:ind w:firstLine="480"/>
        <w:jc w:val="left"/>
        <w:rPr>
          <w:rFonts w:hint="eastAsia" w:ascii="宋体" w:hAnsi="宋体" w:cs="仿宋_GB2312"/>
          <w:color w:val="auto"/>
          <w:kern w:val="0"/>
          <w:sz w:val="24"/>
          <w:highlight w:val="none"/>
        </w:rPr>
      </w:pPr>
      <w:r>
        <w:rPr>
          <w:rFonts w:hint="eastAsia" w:ascii="宋体" w:hAnsi="宋体" w:cs="仿宋_GB2312"/>
          <w:color w:val="auto"/>
          <w:kern w:val="0"/>
          <w:sz w:val="24"/>
          <w:highlight w:val="none"/>
        </w:rPr>
        <w:t>3、中标方应配合完成维护设备定期的检测检定工作。每季度至少一次对维护、维修范围内的所有设备进行检查、测试、保养和清洁，检查设备安装、固定、防护和供电等情况，发现问题和隐患及时解决，并做好全部设备维护的记录工作。</w:t>
      </w:r>
    </w:p>
    <w:p w14:paraId="186D5237">
      <w:pPr>
        <w:spacing w:line="360" w:lineRule="auto"/>
        <w:ind w:firstLine="480" w:firstLineChars="200"/>
        <w:rPr>
          <w:color w:val="auto"/>
          <w:sz w:val="24"/>
          <w:highlight w:val="none"/>
        </w:rPr>
      </w:pPr>
      <w:r>
        <w:rPr>
          <w:rFonts w:hint="eastAsia"/>
          <w:color w:val="auto"/>
          <w:sz w:val="24"/>
          <w:highlight w:val="none"/>
        </w:rPr>
        <w:t>4、因意外事件致使设备损坏，中标人应及时完成设备恢复工作。</w:t>
      </w:r>
    </w:p>
    <w:p w14:paraId="34F7D71B">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4.5重大活动保障</w:t>
      </w:r>
    </w:p>
    <w:p w14:paraId="2303F97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重大活动期间要求运维团队提前对高速卡口监控系统进行提前检测运维。具体工作内容如下：</w:t>
      </w:r>
    </w:p>
    <w:p w14:paraId="6A85BE6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1、在重大活动前两周，逐一对涉及的前端摄像头位置、对应关系进行检查，并确保前端镜头点位的配置信息与实际一致，并将检查情况记录造表。</w:t>
      </w:r>
    </w:p>
    <w:p w14:paraId="27E5E7B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在重大活动前两周，逐一检查涉及的摄像头的在线情况、图像质量、遮挡情况，车辆卡口抓拍图像质量、目标捕获率、目标识别率，针对在检查中发现的问题，组织相关人员及时加以处理，同时将检查情况及维护记录造表。</w:t>
      </w:r>
    </w:p>
    <w:p w14:paraId="39F6DB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3、在重大活动前两周，逐一检查涉及的摄像头所存在的死角位置，针对在检查中发现的问题进行详细记录并告知客户，组织相关人员及时加以调整、优化。</w:t>
      </w:r>
    </w:p>
    <w:p w14:paraId="4E4ADC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4、在重大活动前2天，提供以上巡检及维护报告给客户，便于客户核查和抽检。</w:t>
      </w:r>
    </w:p>
    <w:p w14:paraId="29055FAB">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4.6安全加固及参数调优服务</w:t>
      </w:r>
    </w:p>
    <w:p w14:paraId="4E33E9A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结合视频监控设备</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或客户需要，运维团队及时对视频监控、卡口前端镜头等外场工程相关设备进行升级服务，同时按照客户要求不定期对外场设备口令批量化修改，所有升级或密码更新工作不应影响平台系统正常运行。</w:t>
      </w:r>
    </w:p>
    <w:p w14:paraId="38969C6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运维团队应根据系统运行情况，及时对外场设备/系统的配置参数进行优化调整， 保证设备的稳定运行。</w:t>
      </w:r>
    </w:p>
    <w:p w14:paraId="04FB103C">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4.7资产管理</w:t>
      </w:r>
    </w:p>
    <w:p w14:paraId="2EAA8818">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1、运维团队需利用“周口市公安局档案管理系统”对所运维设备进行资产档案管理，包括设备的经纬度、网络地址、质保时间、设备配置信息、设备型号等，对因设备故障更换、新增设备入网等设备变更情况进行更新，通过对相关资源录入，以及资源更新，做好资源的基础管理和专业管理工作。</w:t>
      </w:r>
    </w:p>
    <w:p w14:paraId="5F33C055">
      <w:pPr>
        <w:spacing w:line="360" w:lineRule="auto"/>
        <w:ind w:firstLine="240" w:firstLineChars="100"/>
        <w:rPr>
          <w:color w:val="auto"/>
          <w:sz w:val="24"/>
          <w:highlight w:val="none"/>
        </w:rPr>
      </w:pPr>
      <w:r>
        <w:rPr>
          <w:rFonts w:cs="Times New Roman"/>
          <w:color w:val="auto"/>
          <w:sz w:val="24"/>
          <w:highlight w:val="none"/>
        </w:rPr>
        <w:t>2、</w:t>
      </w:r>
      <w:r>
        <w:rPr>
          <w:rFonts w:hint="eastAsia"/>
          <w:color w:val="auto"/>
          <w:sz w:val="24"/>
          <w:highlight w:val="none"/>
        </w:rPr>
        <w:t>本项目中标价包括采购需求中用于升级改造的设备清单内容及三年运行维护费用。</w:t>
      </w:r>
    </w:p>
    <w:p w14:paraId="5F665EE2">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4.8运维资料管理</w:t>
      </w:r>
    </w:p>
    <w:p w14:paraId="7552F46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运维团队负责技术资料、图纸、技术文件的收集、整理等管理工作，并根据客户 要求的格式，对各项服务的运行记录、维护记录和技术文档等详细内容进行记录，按照相关规范进行审核、登记、编号和存档，保证各项服务活动可追踪、服务效果可验证。</w:t>
      </w:r>
    </w:p>
    <w:p w14:paraId="0A77916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运维团队应定期汇总编制运维月报、季报、年报，并进行数据整理分析，提供附有图表的统计分析评估报告，同时将数据整理分析结果进行记录，形成知识库，提高运行维护工作的信息化管理能力和水平。</w:t>
      </w:r>
    </w:p>
    <w:p w14:paraId="2812D372">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4.9前端点位拆除与迁移</w:t>
      </w:r>
    </w:p>
    <w:p w14:paraId="754695E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由于市政建设、人为损坏、不可抗力或业务调整等原因不可避免需要对前端点位进行拆除与迁移服务，根据周口市公安局要求进行前端点位位置调整或拆除，所产生费用另行协商。</w:t>
      </w:r>
    </w:p>
    <w:p w14:paraId="2FF0ADEF">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4.10信息安全要求</w:t>
      </w:r>
    </w:p>
    <w:p w14:paraId="3F4D718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1、运维工作从业人员不得捏造数据、弄虚造假。</w:t>
      </w:r>
    </w:p>
    <w:p w14:paraId="190941B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2、不得私自将视频以任何方式泄露给他人。</w:t>
      </w:r>
    </w:p>
    <w:p w14:paraId="132B55D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3、不得因私查看、下载、修改视频录像。</w:t>
      </w:r>
    </w:p>
    <w:p w14:paraId="0087CCD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4、不得在公共场合谈及视频内容。</w:t>
      </w:r>
    </w:p>
    <w:p w14:paraId="74CA9B3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5、不得私自将用户名密码等信息泄露给他人。</w:t>
      </w:r>
    </w:p>
    <w:p w14:paraId="1BB0720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6、不得将未授权设备接入系统。</w:t>
      </w:r>
    </w:p>
    <w:p w14:paraId="5B136A0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7、不得私自通过手机、DV、照相机等设备翻录视频。</w:t>
      </w:r>
    </w:p>
    <w:p w14:paraId="12D6A50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8、违反上述信息安全要求的按情节严重性给予批评教育、行政处罚、解除劳动 合同、追究刑事责任等。</w:t>
      </w:r>
    </w:p>
    <w:p w14:paraId="4F867A6D">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4.11系统兼容</w:t>
      </w:r>
    </w:p>
    <w:p w14:paraId="751382DB">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 xml:space="preserve">本项目为系统升级改造与运维类项目，将充分利旧原有平台的服务器、云存储等存量资源，以实现资源整合、节约成本、避免重复建设。为确保对现有平台、服务器及云存储系统的全面兼容与利旧支持，投标人需承诺与原系统无缝对接。 </w:t>
      </w:r>
    </w:p>
    <w:p w14:paraId="089014E8">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4.12.服务要求</w:t>
      </w:r>
    </w:p>
    <w:p w14:paraId="1A7EB9D0">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质量保证：按</w:t>
      </w:r>
      <w:r>
        <w:rPr>
          <w:rFonts w:hint="eastAsia" w:ascii="宋体" w:hAnsi="宋体" w:cs="宋体"/>
          <w:color w:val="auto"/>
          <w:sz w:val="24"/>
          <w:highlight w:val="none"/>
        </w:rPr>
        <w:t>现行</w:t>
      </w:r>
      <w:r>
        <w:rPr>
          <w:rFonts w:hint="eastAsia" w:ascii="宋体" w:hAnsi="宋体" w:cs="宋体"/>
          <w:color w:val="auto"/>
          <w:sz w:val="24"/>
          <w:highlight w:val="none"/>
          <w:lang w:val="zh-CN"/>
        </w:rPr>
        <w:t>相关行业规则或双方签订合同时约定执行。质保期内如果出现质量问题，中标人应当无条件更换，</w:t>
      </w:r>
      <w:r>
        <w:rPr>
          <w:rFonts w:hint="eastAsia" w:ascii="宋体" w:hAnsi="宋体" w:cs="宋体"/>
          <w:color w:val="auto"/>
          <w:sz w:val="24"/>
          <w:highlight w:val="none"/>
        </w:rPr>
        <w:t>由此</w:t>
      </w:r>
      <w:r>
        <w:rPr>
          <w:rFonts w:hint="eastAsia" w:ascii="宋体" w:hAnsi="宋体" w:cs="宋体"/>
          <w:color w:val="auto"/>
          <w:sz w:val="24"/>
          <w:highlight w:val="none"/>
          <w:lang w:val="zh-CN"/>
        </w:rPr>
        <w:t>造成的损失由中标人负全部责任。</w:t>
      </w:r>
    </w:p>
    <w:p w14:paraId="0AAB1684">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2、软、硬件产品</w:t>
      </w:r>
      <w:r>
        <w:rPr>
          <w:rFonts w:hint="eastAsia" w:ascii="宋体" w:hAnsi="宋体" w:cs="宋体"/>
          <w:color w:val="auto"/>
          <w:sz w:val="24"/>
          <w:highlight w:val="none"/>
          <w:lang w:val="zh-CN"/>
        </w:rPr>
        <w:t>免费质保</w:t>
      </w:r>
      <w:r>
        <w:rPr>
          <w:rFonts w:hint="eastAsia" w:ascii="宋体" w:hAnsi="宋体" w:cs="宋体"/>
          <w:color w:val="auto"/>
          <w:sz w:val="24"/>
          <w:highlight w:val="none"/>
        </w:rPr>
        <w:t>3</w:t>
      </w:r>
      <w:r>
        <w:rPr>
          <w:rFonts w:hint="eastAsia" w:ascii="宋体" w:hAnsi="宋体" w:cs="宋体"/>
          <w:color w:val="auto"/>
          <w:sz w:val="24"/>
          <w:highlight w:val="none"/>
          <w:lang w:val="zh-CN"/>
        </w:rPr>
        <w:t>年，质保期外的收费按相关行业规则或由双方协商收取。</w:t>
      </w:r>
    </w:p>
    <w:p w14:paraId="608B7109">
      <w:pPr>
        <w:pStyle w:val="5"/>
        <w:spacing w:before="200" w:after="200" w:line="360" w:lineRule="auto"/>
        <w:rPr>
          <w:color w:val="auto"/>
          <w:highlight w:val="none"/>
        </w:rPr>
      </w:pPr>
      <w:r>
        <w:rPr>
          <w:rFonts w:hint="eastAsia"/>
          <w:color w:val="auto"/>
          <w:highlight w:val="none"/>
        </w:rPr>
        <w:t>三、采购服务需求清单</w:t>
      </w:r>
    </w:p>
    <w:tbl>
      <w:tblPr>
        <w:tblStyle w:val="35"/>
        <w:tblW w:w="930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
        <w:gridCol w:w="1068"/>
        <w:gridCol w:w="6384"/>
        <w:gridCol w:w="720"/>
        <w:gridCol w:w="645"/>
      </w:tblGrid>
      <w:tr w14:paraId="5130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92" w:type="dxa"/>
            <w:vMerge w:val="restart"/>
            <w:shd w:val="clear" w:color="FFFFFF" w:fill="FFFFFF"/>
            <w:vAlign w:val="center"/>
          </w:tcPr>
          <w:p w14:paraId="607C511E">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rPr>
              <w:t>序号</w:t>
            </w:r>
          </w:p>
        </w:tc>
        <w:tc>
          <w:tcPr>
            <w:tcW w:w="1068" w:type="dxa"/>
            <w:vMerge w:val="restart"/>
            <w:shd w:val="clear" w:color="FFFFFF" w:fill="FFFFFF"/>
            <w:vAlign w:val="center"/>
          </w:tcPr>
          <w:p w14:paraId="1C40C67D">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rPr>
              <w:t>设备名称</w:t>
            </w:r>
          </w:p>
        </w:tc>
        <w:tc>
          <w:tcPr>
            <w:tcW w:w="6384" w:type="dxa"/>
            <w:vMerge w:val="restart"/>
            <w:shd w:val="clear" w:color="FFFFFF" w:fill="FFFFFF"/>
            <w:vAlign w:val="center"/>
          </w:tcPr>
          <w:p w14:paraId="7C0B7409">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rPr>
              <w:t>主要技术参数</w:t>
            </w:r>
          </w:p>
        </w:tc>
        <w:tc>
          <w:tcPr>
            <w:tcW w:w="720" w:type="dxa"/>
            <w:vMerge w:val="restart"/>
            <w:shd w:val="clear" w:color="FFFFFF" w:fill="FFFFFF"/>
            <w:vAlign w:val="center"/>
          </w:tcPr>
          <w:p w14:paraId="5E6F7A2C">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rPr>
              <w:t>计量</w:t>
            </w:r>
            <w:r>
              <w:rPr>
                <w:rFonts w:hint="eastAsia" w:ascii="宋体" w:hAnsi="宋体" w:cs="宋体"/>
                <w:b/>
                <w:bCs/>
                <w:color w:val="auto"/>
                <w:kern w:val="0"/>
                <w:szCs w:val="21"/>
                <w:highlight w:val="none"/>
              </w:rPr>
              <w:br w:type="textWrapping"/>
            </w:r>
            <w:r>
              <w:rPr>
                <w:rFonts w:hint="eastAsia" w:ascii="宋体" w:hAnsi="宋体" w:cs="宋体"/>
                <w:b/>
                <w:bCs/>
                <w:color w:val="auto"/>
                <w:kern w:val="0"/>
                <w:szCs w:val="21"/>
                <w:highlight w:val="none"/>
              </w:rPr>
              <w:t>单位</w:t>
            </w:r>
          </w:p>
        </w:tc>
        <w:tc>
          <w:tcPr>
            <w:tcW w:w="645" w:type="dxa"/>
            <w:vMerge w:val="restart"/>
            <w:shd w:val="clear" w:color="FFFFFF" w:fill="FFFFFF"/>
            <w:vAlign w:val="center"/>
          </w:tcPr>
          <w:p w14:paraId="75AEE264">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rPr>
              <w:t>数量</w:t>
            </w:r>
          </w:p>
        </w:tc>
      </w:tr>
      <w:tr w14:paraId="55FC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2" w:type="dxa"/>
            <w:vMerge w:val="continue"/>
            <w:shd w:val="clear" w:color="FFFFFF" w:fill="FFFFFF"/>
            <w:vAlign w:val="center"/>
          </w:tcPr>
          <w:p w14:paraId="3C44D815">
            <w:pPr>
              <w:jc w:val="center"/>
              <w:rPr>
                <w:rFonts w:hint="eastAsia" w:ascii="宋体" w:hAnsi="宋体" w:cs="宋体"/>
                <w:b/>
                <w:bCs/>
                <w:color w:val="auto"/>
                <w:szCs w:val="21"/>
                <w:highlight w:val="none"/>
              </w:rPr>
            </w:pPr>
          </w:p>
        </w:tc>
        <w:tc>
          <w:tcPr>
            <w:tcW w:w="1068" w:type="dxa"/>
            <w:vMerge w:val="continue"/>
            <w:shd w:val="clear" w:color="FFFFFF" w:fill="FFFFFF"/>
            <w:vAlign w:val="center"/>
          </w:tcPr>
          <w:p w14:paraId="38227931">
            <w:pPr>
              <w:jc w:val="center"/>
              <w:rPr>
                <w:rFonts w:hint="eastAsia" w:ascii="宋体" w:hAnsi="宋体" w:cs="宋体"/>
                <w:b/>
                <w:bCs/>
                <w:color w:val="auto"/>
                <w:szCs w:val="21"/>
                <w:highlight w:val="none"/>
              </w:rPr>
            </w:pPr>
          </w:p>
        </w:tc>
        <w:tc>
          <w:tcPr>
            <w:tcW w:w="6384" w:type="dxa"/>
            <w:vMerge w:val="continue"/>
            <w:shd w:val="clear" w:color="FFFFFF" w:fill="FFFFFF"/>
            <w:vAlign w:val="center"/>
          </w:tcPr>
          <w:p w14:paraId="1D90254B">
            <w:pPr>
              <w:jc w:val="center"/>
              <w:rPr>
                <w:rFonts w:hint="eastAsia" w:ascii="宋体" w:hAnsi="宋体" w:cs="宋体"/>
                <w:b/>
                <w:bCs/>
                <w:color w:val="auto"/>
                <w:szCs w:val="21"/>
                <w:highlight w:val="none"/>
              </w:rPr>
            </w:pPr>
          </w:p>
        </w:tc>
        <w:tc>
          <w:tcPr>
            <w:tcW w:w="720" w:type="dxa"/>
            <w:vMerge w:val="continue"/>
            <w:shd w:val="clear" w:color="FFFFFF" w:fill="FFFFFF"/>
            <w:vAlign w:val="center"/>
          </w:tcPr>
          <w:p w14:paraId="3DF37594">
            <w:pPr>
              <w:jc w:val="center"/>
              <w:rPr>
                <w:rFonts w:hint="eastAsia" w:ascii="宋体" w:hAnsi="宋体" w:cs="宋体"/>
                <w:b/>
                <w:bCs/>
                <w:color w:val="auto"/>
                <w:szCs w:val="21"/>
                <w:highlight w:val="none"/>
              </w:rPr>
            </w:pPr>
          </w:p>
        </w:tc>
        <w:tc>
          <w:tcPr>
            <w:tcW w:w="645" w:type="dxa"/>
            <w:vMerge w:val="continue"/>
            <w:shd w:val="clear" w:color="FFFFFF" w:fill="FFFFFF"/>
            <w:vAlign w:val="center"/>
          </w:tcPr>
          <w:p w14:paraId="3FF2859C">
            <w:pPr>
              <w:jc w:val="center"/>
              <w:rPr>
                <w:rFonts w:hint="eastAsia" w:ascii="宋体" w:hAnsi="宋体" w:cs="宋体"/>
                <w:b/>
                <w:bCs/>
                <w:color w:val="auto"/>
                <w:szCs w:val="21"/>
                <w:highlight w:val="none"/>
              </w:rPr>
            </w:pPr>
          </w:p>
        </w:tc>
      </w:tr>
      <w:tr w14:paraId="570A3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51C0B1F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c>
          <w:tcPr>
            <w:tcW w:w="1068" w:type="dxa"/>
            <w:vAlign w:val="center"/>
          </w:tcPr>
          <w:p w14:paraId="68777684">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环保抓拍单元</w:t>
            </w:r>
          </w:p>
        </w:tc>
        <w:tc>
          <w:tcPr>
            <w:tcW w:w="6384" w:type="dxa"/>
            <w:vAlign w:val="center"/>
          </w:tcPr>
          <w:p w14:paraId="4A0A8B7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1、包含摄像机、室外防护罩、镜头、电源适配器等组成；</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2、像素≥900万；</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3、传感器CMOS≥1英寸；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4、支持自动采集车道、车流量、平均速度、车辆类型、占有率、平均车头时距、平均排队长度、时间段等交通信息数据并进行统计，支持自动上传采集的交通信息数据，上传时间间隔可设置；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5、支持安全异常监测并进行报警输出设置功能，包括非法可执行程序尝试运行、会话ID暴力破解，Web路径暴力破解；</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6、支持车牌识别功能：白天识别准确率≥99%；晚上识别准确率≥99%；</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7、支持车辆逆行检测抓拍功能， 白天捕获率≥99%； 晚上捕获率≥99%；</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8、支持通过视频触发进行车辆抓拍，支持车牌识别、车身颜色识别、车型识别，通行车辆信息捕获和违章检测功能；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9、支持防火墙设置，只允许特定IP、MAC 地址，特定设备端口进行访问，并具有防半连接，网络访问，禁止ping功能；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10、支持GB 35114。</w:t>
            </w:r>
          </w:p>
        </w:tc>
        <w:tc>
          <w:tcPr>
            <w:tcW w:w="720" w:type="dxa"/>
            <w:vAlign w:val="center"/>
          </w:tcPr>
          <w:p w14:paraId="1195CC3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3AC9493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161</w:t>
            </w:r>
          </w:p>
        </w:tc>
      </w:tr>
      <w:tr w14:paraId="7408D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3D348DF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w:t>
            </w:r>
          </w:p>
        </w:tc>
        <w:tc>
          <w:tcPr>
            <w:tcW w:w="1068" w:type="dxa"/>
            <w:vAlign w:val="center"/>
          </w:tcPr>
          <w:p w14:paraId="24381D58">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防眩光补光灯</w:t>
            </w:r>
          </w:p>
        </w:tc>
        <w:tc>
          <w:tcPr>
            <w:tcW w:w="6384" w:type="dxa"/>
            <w:vAlign w:val="center"/>
          </w:tcPr>
          <w:p w14:paraId="17CA8B2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1、集成LED和气体放电光源 ；</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2、支持暖光LED频闪、暖光LED爆闪、白光氙气爆闪、红外氙气爆闪四种模式；</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3、支持LED亮度等级0~99级可调；</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4、LED光源色温：3000K~6500K；</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5、在距离补光灯20米处，LED频闪亮度等级20级时，中心光斑的照度不得超过40lx；</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6、具备符合GA/T1202-2022《交通技术监控成像补光装置通用技术规范》的检测报告；</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7、眩光阈值增量(TI)值TI≤10%。</w:t>
            </w:r>
          </w:p>
        </w:tc>
        <w:tc>
          <w:tcPr>
            <w:tcW w:w="720" w:type="dxa"/>
            <w:vAlign w:val="center"/>
          </w:tcPr>
          <w:p w14:paraId="5049AE10">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35A7738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292</w:t>
            </w:r>
          </w:p>
        </w:tc>
      </w:tr>
      <w:tr w14:paraId="51654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1311A30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w:t>
            </w:r>
          </w:p>
        </w:tc>
        <w:tc>
          <w:tcPr>
            <w:tcW w:w="1068" w:type="dxa"/>
            <w:vAlign w:val="center"/>
          </w:tcPr>
          <w:p w14:paraId="26A93A43">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智能终端管理设备</w:t>
            </w:r>
          </w:p>
        </w:tc>
        <w:tc>
          <w:tcPr>
            <w:tcW w:w="6384" w:type="dxa"/>
            <w:vAlign w:val="center"/>
          </w:tcPr>
          <w:p w14:paraId="452CDE9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1、内置≥8个10M/100M自适应以太网口，视频接入模式码流≥180Mbps；</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2、支持按图片类型区分设置显示内容和字体颜色、是否启用语音播报及播报内容，支持的图片类型有超速、违法变道、违法停车、违法倒车、逆行、压白线、有车占道；</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3、可添加IP摄像机≥4路，支持网络高清视频和图片同时接入， 总码率≥100Mbps；</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4、支持将1/2/3/4张原始图片进行合成，支持多种合成形状选择，图片顺序可任意修改；支持去除原始图片黑边；</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5、违法图片支持类型：未与前车保持安全距离；飙车；车牌污损；道路安全预警;交通事故；占用应急车道；手动抓拍；施工；路障；区域入侵；</w:t>
            </w:r>
          </w:p>
        </w:tc>
        <w:tc>
          <w:tcPr>
            <w:tcW w:w="720" w:type="dxa"/>
            <w:vAlign w:val="center"/>
          </w:tcPr>
          <w:p w14:paraId="65639D1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398F816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79</w:t>
            </w:r>
          </w:p>
        </w:tc>
      </w:tr>
      <w:tr w14:paraId="7C433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35ECCB0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4</w:t>
            </w:r>
          </w:p>
        </w:tc>
        <w:tc>
          <w:tcPr>
            <w:tcW w:w="1068" w:type="dxa"/>
            <w:vAlign w:val="center"/>
          </w:tcPr>
          <w:p w14:paraId="58355210">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万向节支架</w:t>
            </w:r>
          </w:p>
        </w:tc>
        <w:tc>
          <w:tcPr>
            <w:tcW w:w="6384" w:type="dxa"/>
            <w:vAlign w:val="center"/>
          </w:tcPr>
          <w:p w14:paraId="109A0216">
            <w:pPr>
              <w:widowControl/>
              <w:jc w:val="left"/>
              <w:textAlignment w:val="center"/>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rPr>
              <w:t>1、适用范围:可配套交通一体化抓拍单元、补光灯、雷达安装；</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2、承重不低于10kg；</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3、安装方式:使用抱箍安装或者螺钉固定</w:t>
            </w:r>
            <w:r>
              <w:rPr>
                <w:rFonts w:hint="eastAsia" w:ascii="宋体" w:hAnsi="宋体" w:cs="宋体"/>
                <w:color w:val="auto"/>
                <w:kern w:val="0"/>
                <w:szCs w:val="21"/>
                <w:highlight w:val="none"/>
                <w:lang w:eastAsia="zh-CN"/>
              </w:rPr>
              <w:t>；</w:t>
            </w:r>
          </w:p>
        </w:tc>
        <w:tc>
          <w:tcPr>
            <w:tcW w:w="720" w:type="dxa"/>
            <w:vAlign w:val="center"/>
          </w:tcPr>
          <w:p w14:paraId="7F4ECA66">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0CB7A50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453</w:t>
            </w:r>
          </w:p>
        </w:tc>
      </w:tr>
      <w:tr w14:paraId="7D0A1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492" w:type="dxa"/>
            <w:vAlign w:val="center"/>
          </w:tcPr>
          <w:p w14:paraId="3AE368C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5</w:t>
            </w:r>
          </w:p>
        </w:tc>
        <w:tc>
          <w:tcPr>
            <w:tcW w:w="1068" w:type="dxa"/>
            <w:vAlign w:val="center"/>
          </w:tcPr>
          <w:p w14:paraId="41372336">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抓拍机柱装支架</w:t>
            </w:r>
          </w:p>
        </w:tc>
        <w:tc>
          <w:tcPr>
            <w:tcW w:w="6384" w:type="dxa"/>
            <w:vAlign w:val="center"/>
          </w:tcPr>
          <w:p w14:paraId="7B4E99B1">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1、外观颜色：白色；</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2、承重不低于10kg；</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3、安装方式：柱装。</w:t>
            </w:r>
          </w:p>
        </w:tc>
        <w:tc>
          <w:tcPr>
            <w:tcW w:w="720" w:type="dxa"/>
            <w:vAlign w:val="center"/>
          </w:tcPr>
          <w:p w14:paraId="116B1BA8">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5510B55A">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453</w:t>
            </w:r>
          </w:p>
        </w:tc>
      </w:tr>
      <w:tr w14:paraId="72DF3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06F3976B">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6</w:t>
            </w:r>
          </w:p>
        </w:tc>
        <w:tc>
          <w:tcPr>
            <w:tcW w:w="1068" w:type="dxa"/>
            <w:vAlign w:val="center"/>
          </w:tcPr>
          <w:p w14:paraId="4A04A908">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智能球机</w:t>
            </w:r>
          </w:p>
        </w:tc>
        <w:tc>
          <w:tcPr>
            <w:tcW w:w="6384" w:type="dxa"/>
            <w:vAlign w:val="center"/>
          </w:tcPr>
          <w:p w14:paraId="2FD5647C">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1、内置GPU芯片，支持深度学习算法，有效提升检测准确率；</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2、支持机动车、人脸、人体检测；支持优选；支持抓拍；支持上报最优的抓图机动车属性（车牌，车牌颜色 ，车辆类型，车身颜色，车标，车系/年款，遮阳板，安全带，抽烟，打电话，车内饰品，年检标志）；</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3、支持绊线入侵；支持区域入侵；支持穿越围栏；支持徘徊检测；支持物品遗留；支持物品搬移；支持快速移动；支持停车检测；支持人员聚集；支持联动跟踪；</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4、支持≥40倍光学变倍，16倍数字变倍；</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5、像素≥400万，CMOS传感器≥1/1.8英寸；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6、内置250米红外灯补光，采用倍率与红外灯功率匹配算法；</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7、支持透雾，雾天也能输出清晰、透彻的图像；</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8、支持陀螺仪防抖功能；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9、支持雨刷功能；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 xml:space="preserve">10、支持GB35114 </w:t>
            </w:r>
          </w:p>
        </w:tc>
        <w:tc>
          <w:tcPr>
            <w:tcW w:w="720" w:type="dxa"/>
            <w:vAlign w:val="center"/>
          </w:tcPr>
          <w:p w14:paraId="287CB4F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5336A831">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69</w:t>
            </w:r>
          </w:p>
        </w:tc>
      </w:tr>
      <w:tr w14:paraId="43F0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78851C51">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7</w:t>
            </w:r>
          </w:p>
        </w:tc>
        <w:tc>
          <w:tcPr>
            <w:tcW w:w="1068" w:type="dxa"/>
            <w:vAlign w:val="center"/>
          </w:tcPr>
          <w:p w14:paraId="259C448A">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球机吊装支架</w:t>
            </w:r>
          </w:p>
        </w:tc>
        <w:tc>
          <w:tcPr>
            <w:tcW w:w="6384" w:type="dxa"/>
            <w:vAlign w:val="center"/>
          </w:tcPr>
          <w:p w14:paraId="76FE385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1、承重不低于7.0kg；</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2、安装方式：吊装；</w:t>
            </w:r>
          </w:p>
        </w:tc>
        <w:tc>
          <w:tcPr>
            <w:tcW w:w="720" w:type="dxa"/>
            <w:vAlign w:val="center"/>
          </w:tcPr>
          <w:p w14:paraId="11C5975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644B9DC6">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69</w:t>
            </w:r>
          </w:p>
        </w:tc>
      </w:tr>
      <w:tr w14:paraId="56AA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92" w:type="dxa"/>
            <w:vAlign w:val="center"/>
          </w:tcPr>
          <w:p w14:paraId="0208E60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8</w:t>
            </w:r>
          </w:p>
        </w:tc>
        <w:tc>
          <w:tcPr>
            <w:tcW w:w="1068" w:type="dxa"/>
            <w:vAlign w:val="center"/>
          </w:tcPr>
          <w:p w14:paraId="2A6E6B6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球机柱装支架</w:t>
            </w:r>
          </w:p>
        </w:tc>
        <w:tc>
          <w:tcPr>
            <w:tcW w:w="6384" w:type="dxa"/>
            <w:vAlign w:val="center"/>
          </w:tcPr>
          <w:p w14:paraId="691BDAE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1、承重不低于7.0kg；</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2、安装方式：柱装；</w:t>
            </w:r>
          </w:p>
        </w:tc>
        <w:tc>
          <w:tcPr>
            <w:tcW w:w="720" w:type="dxa"/>
            <w:vAlign w:val="center"/>
          </w:tcPr>
          <w:p w14:paraId="6CA92056">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2F4A7655">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69</w:t>
            </w:r>
          </w:p>
        </w:tc>
      </w:tr>
      <w:tr w14:paraId="64E5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644C8884">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9</w:t>
            </w:r>
          </w:p>
        </w:tc>
        <w:tc>
          <w:tcPr>
            <w:tcW w:w="1068" w:type="dxa"/>
            <w:vAlign w:val="center"/>
          </w:tcPr>
          <w:p w14:paraId="671E0957">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交通信息发布屏控制器</w:t>
            </w:r>
          </w:p>
        </w:tc>
        <w:tc>
          <w:tcPr>
            <w:tcW w:w="6384" w:type="dxa"/>
            <w:vAlign w:val="center"/>
          </w:tcPr>
          <w:p w14:paraId="0659433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1、处理器≥4核，运行内存≥2G，内部存储≥4GB；</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2、接口数量：网口≥1个，USB≥1个，支持U盘节目导入播放，亮度传感器接口≥1，音频接口≥1个；</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3、工作状态LED灯显示；</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4、不得有无线模块。</w:t>
            </w:r>
          </w:p>
        </w:tc>
        <w:tc>
          <w:tcPr>
            <w:tcW w:w="720" w:type="dxa"/>
            <w:vAlign w:val="center"/>
          </w:tcPr>
          <w:p w14:paraId="2973A0E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53F1235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20</w:t>
            </w:r>
          </w:p>
        </w:tc>
      </w:tr>
      <w:tr w14:paraId="2D94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1" w:hRule="atLeast"/>
        </w:trPr>
        <w:tc>
          <w:tcPr>
            <w:tcW w:w="492" w:type="dxa"/>
            <w:vAlign w:val="center"/>
          </w:tcPr>
          <w:p w14:paraId="63F0887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10</w:t>
            </w:r>
          </w:p>
        </w:tc>
        <w:tc>
          <w:tcPr>
            <w:tcW w:w="1068" w:type="dxa"/>
            <w:vAlign w:val="center"/>
          </w:tcPr>
          <w:p w14:paraId="1DB16C2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交通信息发布屏</w:t>
            </w:r>
          </w:p>
        </w:tc>
        <w:tc>
          <w:tcPr>
            <w:tcW w:w="6384" w:type="dxa"/>
            <w:vAlign w:val="center"/>
          </w:tcPr>
          <w:p w14:paraId="3A8E9285">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1、物理点间距≤10.0mm；</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2、LED规格:DIP546；</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3、像素组成:红绿双色，可显示红、绿、黄三种颜色；</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4、LED寿命:不低于10W小时；</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5、亮度:最高亮度不低于5000cd/m2；</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6、最佳可视距离:10.0m；</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7、显示尺寸≥1920mm×960mm；</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 xml:space="preserve">8、显示分辨率≥192×96点； </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9、外壳材质:冷轧钢板；</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10、亮度设置:支持16档亮度设置；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11、字体大小设置:支持16/24/32三种大小的字体，可更新控制卡字库实现。</w:t>
            </w:r>
          </w:p>
        </w:tc>
        <w:tc>
          <w:tcPr>
            <w:tcW w:w="720" w:type="dxa"/>
            <w:vAlign w:val="center"/>
          </w:tcPr>
          <w:p w14:paraId="0A97D24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块</w:t>
            </w:r>
          </w:p>
        </w:tc>
        <w:tc>
          <w:tcPr>
            <w:tcW w:w="645" w:type="dxa"/>
            <w:vAlign w:val="center"/>
          </w:tcPr>
          <w:p w14:paraId="7D6BD9F1">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20</w:t>
            </w:r>
          </w:p>
        </w:tc>
      </w:tr>
      <w:tr w14:paraId="1552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92" w:type="dxa"/>
            <w:vAlign w:val="center"/>
          </w:tcPr>
          <w:p w14:paraId="44E436D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11</w:t>
            </w:r>
          </w:p>
        </w:tc>
        <w:tc>
          <w:tcPr>
            <w:tcW w:w="1068" w:type="dxa"/>
            <w:vAlign w:val="center"/>
          </w:tcPr>
          <w:p w14:paraId="021987F8">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cs="宋体"/>
                <w:color w:val="auto"/>
                <w:kern w:val="0"/>
                <w:szCs w:val="21"/>
                <w:highlight w:val="none"/>
              </w:rPr>
              <w:t>抱杆机柜</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定制）</w:t>
            </w:r>
          </w:p>
        </w:tc>
        <w:tc>
          <w:tcPr>
            <w:tcW w:w="6384" w:type="dxa"/>
            <w:vAlign w:val="center"/>
          </w:tcPr>
          <w:p w14:paraId="2881D3B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1、安装方式：抱杆安装；</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2、产品尺寸：500.0mm(宽)×350.0mm(深)×575.0mm(高)；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3、防护等级：IP54。</w:t>
            </w:r>
          </w:p>
        </w:tc>
        <w:tc>
          <w:tcPr>
            <w:tcW w:w="720" w:type="dxa"/>
            <w:vAlign w:val="center"/>
          </w:tcPr>
          <w:p w14:paraId="17A4DEA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2AFF0AE8">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79</w:t>
            </w:r>
          </w:p>
        </w:tc>
      </w:tr>
      <w:tr w14:paraId="1885E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92" w:type="dxa"/>
            <w:vAlign w:val="center"/>
          </w:tcPr>
          <w:p w14:paraId="0DFD07C0">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12</w:t>
            </w:r>
          </w:p>
        </w:tc>
        <w:tc>
          <w:tcPr>
            <w:tcW w:w="1068" w:type="dxa"/>
            <w:vAlign w:val="center"/>
          </w:tcPr>
          <w:p w14:paraId="3F1F026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摄像机电源线</w:t>
            </w:r>
          </w:p>
        </w:tc>
        <w:tc>
          <w:tcPr>
            <w:tcW w:w="6384" w:type="dxa"/>
            <w:vAlign w:val="center"/>
          </w:tcPr>
          <w:p w14:paraId="23ACF9D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摄像机电源线RVV3×1.0纯铜国标。</w:t>
            </w:r>
          </w:p>
        </w:tc>
        <w:tc>
          <w:tcPr>
            <w:tcW w:w="720" w:type="dxa"/>
            <w:vAlign w:val="center"/>
          </w:tcPr>
          <w:p w14:paraId="3DF9C30A">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m</w:t>
            </w:r>
          </w:p>
        </w:tc>
        <w:tc>
          <w:tcPr>
            <w:tcW w:w="645" w:type="dxa"/>
            <w:vAlign w:val="center"/>
          </w:tcPr>
          <w:p w14:paraId="31BC1BD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7000</w:t>
            </w:r>
          </w:p>
        </w:tc>
      </w:tr>
      <w:tr w14:paraId="7D01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92" w:type="dxa"/>
            <w:vAlign w:val="center"/>
          </w:tcPr>
          <w:p w14:paraId="640330F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13</w:t>
            </w:r>
          </w:p>
        </w:tc>
        <w:tc>
          <w:tcPr>
            <w:tcW w:w="1068" w:type="dxa"/>
            <w:vAlign w:val="center"/>
          </w:tcPr>
          <w:p w14:paraId="69798E33">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补光灯电源线</w:t>
            </w:r>
          </w:p>
        </w:tc>
        <w:tc>
          <w:tcPr>
            <w:tcW w:w="6384" w:type="dxa"/>
            <w:vAlign w:val="center"/>
          </w:tcPr>
          <w:p w14:paraId="7751360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补光灯电源线RVV3×1.0纯铜国标。</w:t>
            </w:r>
          </w:p>
        </w:tc>
        <w:tc>
          <w:tcPr>
            <w:tcW w:w="720" w:type="dxa"/>
            <w:vAlign w:val="center"/>
          </w:tcPr>
          <w:p w14:paraId="0191D1C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m</w:t>
            </w:r>
          </w:p>
        </w:tc>
        <w:tc>
          <w:tcPr>
            <w:tcW w:w="645" w:type="dxa"/>
            <w:vAlign w:val="center"/>
          </w:tcPr>
          <w:p w14:paraId="5228A9A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3000</w:t>
            </w:r>
          </w:p>
        </w:tc>
      </w:tr>
      <w:tr w14:paraId="2B4A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492" w:type="dxa"/>
            <w:vAlign w:val="center"/>
          </w:tcPr>
          <w:p w14:paraId="41D7F379">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14</w:t>
            </w:r>
          </w:p>
        </w:tc>
        <w:tc>
          <w:tcPr>
            <w:tcW w:w="1068" w:type="dxa"/>
            <w:vAlign w:val="center"/>
          </w:tcPr>
          <w:p w14:paraId="14A44D97">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网线</w:t>
            </w:r>
          </w:p>
        </w:tc>
        <w:tc>
          <w:tcPr>
            <w:tcW w:w="6384" w:type="dxa"/>
            <w:vAlign w:val="center"/>
          </w:tcPr>
          <w:p w14:paraId="7E414B28">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六类非屏蔽室外双绞线，无氧铜国标，8芯。</w:t>
            </w:r>
          </w:p>
        </w:tc>
        <w:tc>
          <w:tcPr>
            <w:tcW w:w="720" w:type="dxa"/>
            <w:vAlign w:val="center"/>
          </w:tcPr>
          <w:p w14:paraId="29ED2B4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m</w:t>
            </w:r>
          </w:p>
        </w:tc>
        <w:tc>
          <w:tcPr>
            <w:tcW w:w="645" w:type="dxa"/>
            <w:vAlign w:val="center"/>
          </w:tcPr>
          <w:p w14:paraId="0AA306DD">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5000</w:t>
            </w:r>
          </w:p>
        </w:tc>
      </w:tr>
      <w:tr w14:paraId="1B14B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92" w:type="dxa"/>
            <w:vAlign w:val="center"/>
          </w:tcPr>
          <w:p w14:paraId="74EFA847">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15</w:t>
            </w:r>
          </w:p>
        </w:tc>
        <w:tc>
          <w:tcPr>
            <w:tcW w:w="1068" w:type="dxa"/>
            <w:vAlign w:val="center"/>
          </w:tcPr>
          <w:p w14:paraId="2917B49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杆体接地防雷</w:t>
            </w:r>
          </w:p>
        </w:tc>
        <w:tc>
          <w:tcPr>
            <w:tcW w:w="6384" w:type="dxa"/>
            <w:vAlign w:val="center"/>
          </w:tcPr>
          <w:p w14:paraId="0D78B89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定制，含接地线缆，防雷接地线ZR-BVR16，接地电阻不大于10欧。</w:t>
            </w:r>
          </w:p>
        </w:tc>
        <w:tc>
          <w:tcPr>
            <w:tcW w:w="720" w:type="dxa"/>
            <w:vAlign w:val="center"/>
          </w:tcPr>
          <w:p w14:paraId="6B4E2C41">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3104AAA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161</w:t>
            </w:r>
          </w:p>
        </w:tc>
      </w:tr>
      <w:tr w14:paraId="76E1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92" w:type="dxa"/>
            <w:vAlign w:val="center"/>
          </w:tcPr>
          <w:p w14:paraId="041C10E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16</w:t>
            </w:r>
          </w:p>
        </w:tc>
        <w:tc>
          <w:tcPr>
            <w:tcW w:w="1068" w:type="dxa"/>
            <w:vAlign w:val="center"/>
          </w:tcPr>
          <w:p w14:paraId="43C2459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地下埋管/顶管</w:t>
            </w:r>
          </w:p>
        </w:tc>
        <w:tc>
          <w:tcPr>
            <w:tcW w:w="6384" w:type="dxa"/>
            <w:vAlign w:val="center"/>
          </w:tcPr>
          <w:p w14:paraId="0EF578F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辅道与杆件基座连接，维护手井与机箱设备连接，地下管线汇聚（包含管道沟开挖，PE管铺设，混凝土回填人员施工等），过路需要顶管。</w:t>
            </w:r>
          </w:p>
        </w:tc>
        <w:tc>
          <w:tcPr>
            <w:tcW w:w="720" w:type="dxa"/>
            <w:vAlign w:val="center"/>
          </w:tcPr>
          <w:p w14:paraId="7A2F83C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m</w:t>
            </w:r>
          </w:p>
        </w:tc>
        <w:tc>
          <w:tcPr>
            <w:tcW w:w="645" w:type="dxa"/>
            <w:vAlign w:val="center"/>
          </w:tcPr>
          <w:p w14:paraId="0BDEA15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3000</w:t>
            </w:r>
          </w:p>
        </w:tc>
      </w:tr>
      <w:tr w14:paraId="40067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492" w:type="dxa"/>
            <w:vAlign w:val="center"/>
          </w:tcPr>
          <w:p w14:paraId="393752A1">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17</w:t>
            </w:r>
          </w:p>
        </w:tc>
        <w:tc>
          <w:tcPr>
            <w:tcW w:w="1068" w:type="dxa"/>
            <w:vAlign w:val="center"/>
          </w:tcPr>
          <w:p w14:paraId="1A69B5A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电表</w:t>
            </w:r>
          </w:p>
        </w:tc>
        <w:tc>
          <w:tcPr>
            <w:tcW w:w="6384" w:type="dxa"/>
            <w:vAlign w:val="center"/>
          </w:tcPr>
          <w:p w14:paraId="646A358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国标。</w:t>
            </w:r>
          </w:p>
        </w:tc>
        <w:tc>
          <w:tcPr>
            <w:tcW w:w="720" w:type="dxa"/>
            <w:vAlign w:val="center"/>
          </w:tcPr>
          <w:p w14:paraId="5994A441">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组</w:t>
            </w:r>
          </w:p>
        </w:tc>
        <w:tc>
          <w:tcPr>
            <w:tcW w:w="645" w:type="dxa"/>
            <w:vAlign w:val="center"/>
          </w:tcPr>
          <w:p w14:paraId="366E4980">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79</w:t>
            </w:r>
          </w:p>
        </w:tc>
      </w:tr>
      <w:tr w14:paraId="31F06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54412D1B">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18</w:t>
            </w:r>
          </w:p>
        </w:tc>
        <w:tc>
          <w:tcPr>
            <w:tcW w:w="1068" w:type="dxa"/>
            <w:vAlign w:val="center"/>
          </w:tcPr>
          <w:p w14:paraId="636C562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智能交通综合应用平台</w:t>
            </w:r>
          </w:p>
        </w:tc>
        <w:tc>
          <w:tcPr>
            <w:tcW w:w="6384" w:type="dxa"/>
            <w:vAlign w:val="center"/>
          </w:tcPr>
          <w:p w14:paraId="4E32CF5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1、通道管理节点数量：支持不小于2500通道管理；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2、视频存储转发数量：支持不小于128路存储/转发；</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3、国标码流格式：支持视频编码：H.264/H.265；支持音频编码：采样率为8000的G711.a编码；</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4、国标资源接收功能：支持作为上级平台，接收资源同步，资源变更和状态变更；</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5、国标资源推送功能：支持作为下级国标协议平台进行资源的同步以及资源变更同步，包括组织，设备，通道信息；</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6、国标级联上下级功能：支持作为下级国标协议平台级联推送到第三方，也能够作为上级平台级联接入国标协议平台；</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7、卡口存储业务：支持集群内不小于1000W/天抓拍数据（人卡和车卡）接入；支持不小于300W/天抓拍数据接入。</w:t>
            </w:r>
          </w:p>
        </w:tc>
        <w:tc>
          <w:tcPr>
            <w:tcW w:w="720" w:type="dxa"/>
            <w:vAlign w:val="center"/>
          </w:tcPr>
          <w:p w14:paraId="0E4A2CE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4EA8848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58580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492" w:type="dxa"/>
            <w:vAlign w:val="center"/>
          </w:tcPr>
          <w:p w14:paraId="6ED5ED4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19</w:t>
            </w:r>
          </w:p>
        </w:tc>
        <w:tc>
          <w:tcPr>
            <w:tcW w:w="1068" w:type="dxa"/>
            <w:vAlign w:val="center"/>
          </w:tcPr>
          <w:p w14:paraId="1FFDB6F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车辆卡口管理系统</w:t>
            </w:r>
          </w:p>
        </w:tc>
        <w:tc>
          <w:tcPr>
            <w:tcW w:w="6384" w:type="dxa"/>
            <w:vAlign w:val="center"/>
          </w:tcPr>
          <w:p w14:paraId="6360A4F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1、提供交通车辆基础应用。支持过车/违法记录查询、过车/违法详情展现、关联录像查询、关联轨迹查询；支持多种条件的特征检索；支持以图搜图、车辆布控、布控报警查询等业务；</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2、支持区间测速图片按原始图片名称导出；</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3、展现抓拍违法详细信息：抓拍图、合成图、违法类型、抓拍时间、抓拍地点、目标类型、车身颜色；支持过车图片下载到本地；</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4、支持播放抓拍时刻的前后15s录像，支持暂停、快进、快退等基本操作；支持下载到本地；支根据开始时间、结束时间、违法类型、目标类型、点位选择、车身颜色等条件查询信息；</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5、支持对符合条件的布控报警实时显示，并且结合电子地图点位闪烁；</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6、支持在地图上查看过车轨迹；</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7、违法记录查询：支根据时间、号牌号码、号牌种类、点位选择、违法类型、车身颜色、车道、车辆品牌、行驶方向、车速等条件查询车辆违法信息；</w:t>
            </w:r>
          </w:p>
        </w:tc>
        <w:tc>
          <w:tcPr>
            <w:tcW w:w="720" w:type="dxa"/>
            <w:vAlign w:val="center"/>
          </w:tcPr>
          <w:p w14:paraId="0DA4F73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0CACB2E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5C168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44ACE856">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20</w:t>
            </w:r>
          </w:p>
        </w:tc>
        <w:tc>
          <w:tcPr>
            <w:tcW w:w="1068" w:type="dxa"/>
            <w:vAlign w:val="center"/>
          </w:tcPr>
          <w:p w14:paraId="3859F353">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图片处理系统</w:t>
            </w:r>
          </w:p>
        </w:tc>
        <w:tc>
          <w:tcPr>
            <w:tcW w:w="6384" w:type="dxa"/>
            <w:vAlign w:val="center"/>
          </w:tcPr>
          <w:p w14:paraId="6DD886F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1、图片合成量：支持每天合成不小于2w张图片；</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2、手动重新合成：支持手动进行单个或批量的重新下发图片合成；</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3、日志查询：支持按时间、车牌号码、违法行为、失败原因查询合成失败的日志记录；</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4、日志查看：支持查看图片合成失败的日志记录；</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5、设备关联配置：支持添加设备关联配置，可以选择设备、选择违法行为，以及每种违法行为是否启用图片合成、OSD叠加；支持设备关联配置的搜索、查看、编辑、删除；</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6、OSD叠加配置：支持添加OSD叠加配置，可以自定义配置违法行为、违法时间格式、字体大小、字体颜色、字段选择和字段排序；支持OSD叠加配置的启用、停用、搜索、查看、编辑、删除；</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7、OSD擦除：背景图片支持OSD擦除、擦除尺寸的配置；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8、图片排列方式：背景图片的排列方式支持按横排、竖排、田字格方式，支持配置图片属性；</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图片合成配置：支持添加图片合成配置，可以自定义配置违法行为、图片排列方式、待合成图片数量、图片大小、背景图片、叠加图片叠加图片支持位置、缩放比例的配置；支持图片合成配置的启用、停用、搜索、查看、编辑、删除。</w:t>
            </w:r>
          </w:p>
        </w:tc>
        <w:tc>
          <w:tcPr>
            <w:tcW w:w="720" w:type="dxa"/>
            <w:vAlign w:val="center"/>
          </w:tcPr>
          <w:p w14:paraId="26BE034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62907CF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2950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492" w:type="dxa"/>
            <w:vAlign w:val="center"/>
          </w:tcPr>
          <w:p w14:paraId="6708249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21</w:t>
            </w:r>
          </w:p>
        </w:tc>
        <w:tc>
          <w:tcPr>
            <w:tcW w:w="1068" w:type="dxa"/>
            <w:vAlign w:val="center"/>
          </w:tcPr>
          <w:p w14:paraId="3E71B2B1">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流媒体节点软件</w:t>
            </w:r>
          </w:p>
        </w:tc>
        <w:tc>
          <w:tcPr>
            <w:tcW w:w="6384" w:type="dxa"/>
            <w:vAlign w:val="center"/>
          </w:tcPr>
          <w:p w14:paraId="2AE0FC5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1、接入参数:支持不低于2500路接入；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2、存储参数:支持单节点不小于256路存储；或支持单节点不小于400路车辆卡口存储；</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3、转发参数:支持单节点不小于256路转发。</w:t>
            </w:r>
          </w:p>
        </w:tc>
        <w:tc>
          <w:tcPr>
            <w:tcW w:w="720" w:type="dxa"/>
            <w:vAlign w:val="center"/>
          </w:tcPr>
          <w:p w14:paraId="143DF08D">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2741FB4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4</w:t>
            </w:r>
          </w:p>
        </w:tc>
      </w:tr>
      <w:tr w14:paraId="0496B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2007463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22</w:t>
            </w:r>
          </w:p>
        </w:tc>
        <w:tc>
          <w:tcPr>
            <w:tcW w:w="1068" w:type="dxa"/>
            <w:vAlign w:val="center"/>
          </w:tcPr>
          <w:p w14:paraId="521CB18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集指对接网关</w:t>
            </w:r>
          </w:p>
        </w:tc>
        <w:tc>
          <w:tcPr>
            <w:tcW w:w="6384" w:type="dxa"/>
            <w:vAlign w:val="center"/>
          </w:tcPr>
          <w:p w14:paraId="31D42958">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1、支持违法数据重传；</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2、支持汇聚平台多个设备映射成集指一个设备；</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3、支持过车对接时效性，设备端到集成指挥接口60s内；</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4、支持7×24小时稳定运行，延迟率小于5%，漏车率小于1%；</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5、支持日过车不小于1000万（数据）+日违法不小于15万（数据+图片）对接集成指挥平台，或支持日过车+违法（数据+图片）不小于15万对接集成指挥平台；</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6、支持违法数据失败重传次数配置，支持违法数据失败重传间隔配置；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7、支持区间违法的上传过滤规则管理，系统会按照过滤规则进行数据过滤，不上传。支持规则添加，含区间选择，违法模板、时间模板、规则描述配置；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8、缉查布控系统对接：支持缉查布控系统对接参数设置，包括对接开关、IP地址、端口和接口序列号参数；</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9、支持集指《外挂接口使用手册》中的违法数据对接接口；</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10、支持《全国机动车缉查布控系统卡口数据上传规范》中的过车数据对接接口；</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11、支持不小于500路通道永久授权。</w:t>
            </w:r>
          </w:p>
        </w:tc>
        <w:tc>
          <w:tcPr>
            <w:tcW w:w="720" w:type="dxa"/>
            <w:vAlign w:val="center"/>
          </w:tcPr>
          <w:p w14:paraId="3342D48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25DF5A4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427FF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2408A679">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23</w:t>
            </w:r>
          </w:p>
        </w:tc>
        <w:tc>
          <w:tcPr>
            <w:tcW w:w="1068" w:type="dxa"/>
            <w:vAlign w:val="center"/>
          </w:tcPr>
          <w:p w14:paraId="7AE7442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视频国标对接网关</w:t>
            </w:r>
          </w:p>
        </w:tc>
        <w:tc>
          <w:tcPr>
            <w:tcW w:w="6384" w:type="dxa"/>
            <w:vAlign w:val="center"/>
          </w:tcPr>
          <w:p w14:paraId="152F527C">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1、基于GB/T 28181等联网标准实现视频监控平台间的级联、互联功能，支持多平台多层次级联，实现平台之间的跨域互联互通与资源共享；</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2、支持注册和注销；</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3、支持报警事件通知和分发；</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4、支持在线查看级联网络拓扑，支持查看平台对接信息、网关及三方信息，支持在网络拓扑界面对级联域进行筛选过滤；</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5、支持按域在线解析国标注册、心跳、订阅、实时业务、录像业务、平台业务报文，查看详情，支持根据任务状态、会话ID、创建时间对业务请求进行筛选查询。点击查看按钮显示查看详情；</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6、支持不低于10个外域的接入；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7、不小于500路永久授权。</w:t>
            </w:r>
          </w:p>
        </w:tc>
        <w:tc>
          <w:tcPr>
            <w:tcW w:w="720" w:type="dxa"/>
            <w:vAlign w:val="center"/>
          </w:tcPr>
          <w:p w14:paraId="537C145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5A246D3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6E8B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0" w:hRule="atLeast"/>
        </w:trPr>
        <w:tc>
          <w:tcPr>
            <w:tcW w:w="492" w:type="dxa"/>
            <w:vAlign w:val="center"/>
          </w:tcPr>
          <w:p w14:paraId="41ABCD1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24</w:t>
            </w:r>
          </w:p>
        </w:tc>
        <w:tc>
          <w:tcPr>
            <w:tcW w:w="1068" w:type="dxa"/>
            <w:vAlign w:val="center"/>
          </w:tcPr>
          <w:p w14:paraId="76E788F3">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视频图像信息库网关</w:t>
            </w:r>
          </w:p>
        </w:tc>
        <w:tc>
          <w:tcPr>
            <w:tcW w:w="6384" w:type="dxa"/>
            <w:vAlign w:val="center"/>
          </w:tcPr>
          <w:p w14:paraId="2B7DC8D1">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1、支持人脸、车辆、案事件等视频图像资源汇聚接入、级联转发的视图库网关；</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2、支持符合视图库协议GA/T 1400协议规范的接口；</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3、支持采集设备、采集系统、卡口、分析系统、视图库服务、应用平台的增加、删除和修改；</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4、支持订阅、取消订阅和修改订阅时间功能；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5、支持多个上级域视图库同时联网接入；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6、支持多个下级域视图库同时联网接入；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7、具备独立的认证鉴权能力，对接入到本级视图库的上下级域视图库身份合法性进行鉴权认证；</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8、支持按照GA/T1400协议规定的数据格式推送过车、人脸、人体等视图结构化数据给上级；</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9、支持按照约定的方式推送上级图片数据格式；</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10、支持上级向本级视图库订阅GA/T1400协议规定的数据类别；</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11、性能规格50条/s（一大图（500K）+一小图（50K））。</w:t>
            </w:r>
          </w:p>
        </w:tc>
        <w:tc>
          <w:tcPr>
            <w:tcW w:w="720" w:type="dxa"/>
            <w:vAlign w:val="center"/>
          </w:tcPr>
          <w:p w14:paraId="138DBB31">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3F53024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0907E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492" w:type="dxa"/>
            <w:vAlign w:val="center"/>
          </w:tcPr>
          <w:p w14:paraId="0628BBE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25</w:t>
            </w:r>
          </w:p>
        </w:tc>
        <w:tc>
          <w:tcPr>
            <w:tcW w:w="1068" w:type="dxa"/>
            <w:vAlign w:val="center"/>
          </w:tcPr>
          <w:p w14:paraId="63BE1CA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诱导屏信息发布平台</w:t>
            </w:r>
          </w:p>
        </w:tc>
        <w:tc>
          <w:tcPr>
            <w:tcW w:w="6384" w:type="dxa"/>
            <w:vAlign w:val="center"/>
          </w:tcPr>
          <w:p w14:paraId="0F5F3826">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1、最多支持接入不小于25路诱导屏；</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2、支持地图展示诱导屏点位信息，并支持诱导屏的插播、撤销插播、查看视频、开屏关屏操作。支持地图和卡片两种模式；</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3、通过设备的单个添加和导入导出，方便统计管理设备在离线状态，并对设备进行远程操控；</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4、支持图片和视频素材的上传，为节目制作提供素材基础。支持素材的审核；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节目模块和我的节目。节目模板有系统内置模板，通用节目可存为模板，我的节目这次根据实际需求发布各类诱导信息，包括文字、图片、视频、网页等，并支持在本地预览诱导信息的内容。支持节目的审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6、支持按周和自定义日期创建诱导屏播放计划，支持设置播放计划的播放模式轮播和垫片，垫片作为背景节目在无插播盒普通轮播计划时播放。支持普通计划的审核。</w:t>
            </w:r>
          </w:p>
        </w:tc>
        <w:tc>
          <w:tcPr>
            <w:tcW w:w="720" w:type="dxa"/>
            <w:vAlign w:val="center"/>
          </w:tcPr>
          <w:p w14:paraId="52F9C3B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52D679B5">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26613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492" w:type="dxa"/>
            <w:vAlign w:val="center"/>
          </w:tcPr>
          <w:p w14:paraId="0EE91F73">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26</w:t>
            </w:r>
          </w:p>
        </w:tc>
        <w:tc>
          <w:tcPr>
            <w:tcW w:w="1068" w:type="dxa"/>
            <w:vAlign w:val="center"/>
          </w:tcPr>
          <w:p w14:paraId="20682837">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智能交通综合应用平台服务器</w:t>
            </w:r>
          </w:p>
        </w:tc>
        <w:tc>
          <w:tcPr>
            <w:tcW w:w="6384" w:type="dxa"/>
            <w:vAlign w:val="center"/>
          </w:tcPr>
          <w:p w14:paraId="56DB8A9D">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CPU：≥2*国产CPU，单颗CPU主频≥2.0GHz（非超频），单颗CPU物理核≥24核；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内存：≥128G内存；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硬盘：≥2块4TB 硬盘；≥2块480G SSD硬盘；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网卡：≥4个千兆网口,≥2个万兆光口（含多模光模块）；</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RAID卡：缓存≥4G；</w:t>
            </w:r>
          </w:p>
          <w:p w14:paraId="3F61918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含国产操作系统；</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电源规格：整机电源模块按1+1冗余配置。</w:t>
            </w:r>
          </w:p>
        </w:tc>
        <w:tc>
          <w:tcPr>
            <w:tcW w:w="720" w:type="dxa"/>
            <w:vAlign w:val="center"/>
          </w:tcPr>
          <w:p w14:paraId="1D1A03B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0A0CC15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5071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492" w:type="dxa"/>
            <w:vAlign w:val="center"/>
          </w:tcPr>
          <w:p w14:paraId="79BD2BE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27</w:t>
            </w:r>
          </w:p>
        </w:tc>
        <w:tc>
          <w:tcPr>
            <w:tcW w:w="1068" w:type="dxa"/>
            <w:vAlign w:val="center"/>
          </w:tcPr>
          <w:p w14:paraId="6949D80A">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应用服务器</w:t>
            </w:r>
          </w:p>
        </w:tc>
        <w:tc>
          <w:tcPr>
            <w:tcW w:w="6384" w:type="dxa"/>
            <w:vAlign w:val="center"/>
          </w:tcPr>
          <w:p w14:paraId="50F1EE8B">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CPU：≥2*国产CPU，单颗CPU主频≥2.0GHz（非超频），单颗CPU物理核≥24核；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内存：≥64G内存；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硬盘：≥2块4TB 硬盘；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网卡：≥4个千兆网口,≥2个万兆光口（含多模光模块）；</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RAID卡：缓存≥</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G；</w:t>
            </w:r>
          </w:p>
          <w:p w14:paraId="6C592E7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含国产操作系统；</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电源规格：整机电源模块按1+1冗余配置</w:t>
            </w:r>
          </w:p>
        </w:tc>
        <w:tc>
          <w:tcPr>
            <w:tcW w:w="720" w:type="dxa"/>
            <w:vAlign w:val="center"/>
          </w:tcPr>
          <w:p w14:paraId="3457D775">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28F169B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6</w:t>
            </w:r>
          </w:p>
        </w:tc>
      </w:tr>
      <w:tr w14:paraId="3C31A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9" w:hRule="atLeast"/>
        </w:trPr>
        <w:tc>
          <w:tcPr>
            <w:tcW w:w="492" w:type="dxa"/>
            <w:vAlign w:val="center"/>
          </w:tcPr>
          <w:p w14:paraId="25918F9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28</w:t>
            </w:r>
          </w:p>
        </w:tc>
        <w:tc>
          <w:tcPr>
            <w:tcW w:w="1068" w:type="dxa"/>
            <w:vAlign w:val="center"/>
          </w:tcPr>
          <w:p w14:paraId="5C3F5931">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数据库服务器</w:t>
            </w:r>
          </w:p>
        </w:tc>
        <w:tc>
          <w:tcPr>
            <w:tcW w:w="6384" w:type="dxa"/>
            <w:vAlign w:val="center"/>
          </w:tcPr>
          <w:p w14:paraId="054DA0DE">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CPU：≥2*国产CPU，单颗CPU主频≥2.0GHz（非超频），单颗CPU物理核≥24核；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内存：≥128G内存；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硬盘：≥2块2TB HDD硬盘；≥8块600G SAS硬盘；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网卡：≥4个千兆网口,≥2个万兆光口（含多模光模块）；</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RAID卡：缓存≥</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G；</w:t>
            </w:r>
          </w:p>
          <w:p w14:paraId="0E2125FD">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含国产操作系统；</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电源规格：整机电源模块按1+1冗余配置</w:t>
            </w:r>
          </w:p>
        </w:tc>
        <w:tc>
          <w:tcPr>
            <w:tcW w:w="720" w:type="dxa"/>
            <w:vAlign w:val="center"/>
          </w:tcPr>
          <w:p w14:paraId="28BB1D60">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2D62A3C6">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2940A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58498416">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29</w:t>
            </w:r>
          </w:p>
        </w:tc>
        <w:tc>
          <w:tcPr>
            <w:tcW w:w="1068" w:type="dxa"/>
            <w:vAlign w:val="center"/>
          </w:tcPr>
          <w:p w14:paraId="175D2453">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数据库软件</w:t>
            </w:r>
          </w:p>
        </w:tc>
        <w:tc>
          <w:tcPr>
            <w:tcW w:w="6384" w:type="dxa"/>
            <w:vAlign w:val="center"/>
          </w:tcPr>
          <w:p w14:paraId="6B473FF1">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1、国产化数据库；</w:t>
            </w:r>
          </w:p>
          <w:p w14:paraId="276CFECF">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2、支持各类国产硬件体系，支持飞腾系列、龙芯系列、申威系列、兆芯系列、鲲鹏系列、海光系列等不同CPU架构的服务器；</w:t>
            </w:r>
          </w:p>
          <w:p w14:paraId="1B78013A">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3、支持各类国产操作系统平台；</w:t>
            </w:r>
          </w:p>
          <w:p w14:paraId="65D3C01F">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4、兼容Oracle数据字典视图和系统包，兼容PL/SQL操作语句，兼容Oracle的常用系统函数；</w:t>
            </w:r>
          </w:p>
          <w:p w14:paraId="140D1D19">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5、单机支持</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万以上并发连接数；</w:t>
            </w:r>
          </w:p>
          <w:p w14:paraId="133603E0">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6、单表支持不低于2000列字段；</w:t>
            </w:r>
          </w:p>
          <w:p w14:paraId="1A3F6F7C">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7、单机单表支持不低于120TB文本数据的存储；单机单表支持万亿行记录的存储；在基于120TB（万亿行记录数）数据的单表上，支持数据的增删改查操作;</w:t>
            </w:r>
          </w:p>
          <w:p w14:paraId="0EA4A9FD">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8、单机单实例TPC-C性能测试，测试持续时间60分钟，测试指标指能达到150万tpmC以上；</w:t>
            </w:r>
          </w:p>
          <w:p w14:paraId="5E19FC64">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9、可移植性和可扩展性强，支持主流第三方数据处理工具；</w:t>
            </w:r>
          </w:p>
          <w:p w14:paraId="25F46BFC">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10、支持并行处理能力；</w:t>
            </w:r>
          </w:p>
          <w:p w14:paraId="124C8F51">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11、支持基于国密算法的存储加密，支持数据加密存储，支持国密算法加密，支持全面加密，数据文件、日志文件、备份文件、导入导出文件等均支持透明加密；支持数据库级、表级、列级等不同级别加密，支持不同用户、不同列设置不同密钥。</w:t>
            </w:r>
          </w:p>
        </w:tc>
        <w:tc>
          <w:tcPr>
            <w:tcW w:w="720" w:type="dxa"/>
            <w:vAlign w:val="center"/>
          </w:tcPr>
          <w:p w14:paraId="1E22C901">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3785F62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423AE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6" w:hRule="atLeast"/>
        </w:trPr>
        <w:tc>
          <w:tcPr>
            <w:tcW w:w="492" w:type="dxa"/>
            <w:vAlign w:val="center"/>
          </w:tcPr>
          <w:p w14:paraId="3068E2A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30</w:t>
            </w:r>
          </w:p>
        </w:tc>
        <w:tc>
          <w:tcPr>
            <w:tcW w:w="1068" w:type="dxa"/>
            <w:vAlign w:val="center"/>
          </w:tcPr>
          <w:p w14:paraId="42CCFCD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云存储管理系统</w:t>
            </w:r>
          </w:p>
        </w:tc>
        <w:tc>
          <w:tcPr>
            <w:tcW w:w="6384" w:type="dxa"/>
            <w:vAlign w:val="center"/>
          </w:tcPr>
          <w:p w14:paraId="4D0D60F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1、包含容量授权：不小于1728T；</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2、支持全局存储资源虚拟化，统一访问入口，统一命名空间管理，支持文件、录像、图片存储；支持EC纠删码和副本容错算法，支持硬盘、节点容错；</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对文件生命周期管理，自动感知存储系统状态，包括用户空间使用情况，以及用户、bucket的生命周期和文件信息，根据用户配置的生命周期策略对文件进行删除和空间回收，支持满足安防行业特点的紧急覆盖机制；</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4、支持数据损坏自动恢复，支持对指定日期文件进行数据恢复，可选自动恢复和手动恢复，支持文件恢复优先级控制，支持设置高中低不同的数据恢复策略；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5、支持将图片等小文件汇聚成大文件进行存储，并返回一个包含文件偏移信息的唯一标识符，支持小文件的并发读写，支持文件通过http下载；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6、支持根据不同用户的需求，划分存储配额空间，底层共用同一个存储池，支持多平台同时共用一套云存储；</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7、支持坏盘、慢盘、网络异常抖动的自动检测，支持对异常盘和异常存储节点进行自动隔离，支持硬盘免及时更换，支持硬盘集中更换；支持在线更换硬盘和存储节点服务器，业务不中断；</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支持数据读写压力按存储节点的CPU、内存、网络、容量进行自动负载均衡，支持存储节点异常后读写流量自动负载到其他正常存储节点，不影响正常业务；支持视频、图片数据同时从多台存储节点上分布式并发下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9、支持主备高可靠，支持单台元数据服务器故障业务不中断，支持在线更换故障元数据服务器；</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10、支持对所有存储节点、所有硬盘资源虚拟化成统一的存储空间，支持存储容量资源的统一管理，支持集群存储容量动态扩容; 支持集群热备容量管理；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11、支持为不同存储用户分配不同的存储空间和创建不同的资源池；支持灵活修改资源池属性，支持对分配的资源池容量在线扩容；</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12、支持文件删除立即回收存储容量；支持文件过期自动回收存储容量；支持生命周期紧急覆盖策略下对用户空间容量进行回收，保证新业务数据持续写入，业务不中断；</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13、该系统含不少于2台服务器，每台配置：CPU：≥2*国产CPU，单颗CPU主频≥2.0GHz（非超频），单颗CPU物理核≥24核；内存：≥128G内存；硬盘：≥2块4TB硬盘；≥2块960G 固态硬盘；网卡：≥4个千兆网口,≥4个万兆光口（含多模光模块）；RAID卡：缓存≥2G,支持 RAID 0, 1, 5, 6, 10；电源规格：整机电源模块按1+1冗余配置。</w:t>
            </w:r>
          </w:p>
        </w:tc>
        <w:tc>
          <w:tcPr>
            <w:tcW w:w="720" w:type="dxa"/>
            <w:vAlign w:val="center"/>
          </w:tcPr>
          <w:p w14:paraId="154E6DF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7CDCEB46">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5043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0" w:hRule="atLeast"/>
        </w:trPr>
        <w:tc>
          <w:tcPr>
            <w:tcW w:w="492" w:type="dxa"/>
            <w:vAlign w:val="center"/>
          </w:tcPr>
          <w:p w14:paraId="67DB7CD6">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31</w:t>
            </w:r>
          </w:p>
        </w:tc>
        <w:tc>
          <w:tcPr>
            <w:tcW w:w="1068" w:type="dxa"/>
            <w:vAlign w:val="center"/>
          </w:tcPr>
          <w:p w14:paraId="6A511361">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视频云存储节点</w:t>
            </w:r>
          </w:p>
        </w:tc>
        <w:tc>
          <w:tcPr>
            <w:tcW w:w="6384" w:type="dxa"/>
            <w:vAlign w:val="center"/>
          </w:tcPr>
          <w:p w14:paraId="436150D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1、CPU：≥2*国产CPU，单颗CPU主频≥2.0GHz（非超频），单颗CPU物理核≥24核；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2、内存：≥32G内存；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3、硬盘：≥1块4TB硬盘；≥1块480G 固态硬盘；≥36块8T企业级硬盘；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4、网卡：≥4个千兆网口,≥4个万兆光口（含多模光模块）；</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5、RAID卡：支持 RAID 0, 1, 5, 6, 10；</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6、电源规格：整机电源模块按1+1冗余配置；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7、视频设备接入模块：支持国标、Onvif等接入各类型的前端设备；</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8、卡口设备接入模块：支持人脸、车辆卡口设备接入以及结构化数据接入；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9、视频图片存储模块：支持视频和图片的基础存储业务，包括录像计划，图片计划配置管理，包括视频流按通道和类型进行分类，并进行相应的索引创建等；</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10、视频存储：视频存储800路且最大带宽≤2000Mbps，支持128路或512Mbps转发；</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11、图片最大存储：写入不小于400张图片/s(1:1大小图)，读取不小于400张图片/s(1:1大小图)。</w:t>
            </w:r>
          </w:p>
        </w:tc>
        <w:tc>
          <w:tcPr>
            <w:tcW w:w="720" w:type="dxa"/>
            <w:vAlign w:val="center"/>
          </w:tcPr>
          <w:p w14:paraId="0766674D">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7E95B4BC">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6</w:t>
            </w:r>
          </w:p>
        </w:tc>
      </w:tr>
      <w:tr w14:paraId="3689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7" w:hRule="atLeast"/>
        </w:trPr>
        <w:tc>
          <w:tcPr>
            <w:tcW w:w="492" w:type="dxa"/>
            <w:vAlign w:val="center"/>
          </w:tcPr>
          <w:p w14:paraId="489B8C63">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32</w:t>
            </w:r>
          </w:p>
        </w:tc>
        <w:tc>
          <w:tcPr>
            <w:tcW w:w="1068" w:type="dxa"/>
            <w:vAlign w:val="center"/>
          </w:tcPr>
          <w:p w14:paraId="12657ED8">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核心交换机</w:t>
            </w:r>
          </w:p>
        </w:tc>
        <w:tc>
          <w:tcPr>
            <w:tcW w:w="6384" w:type="dxa"/>
            <w:vAlign w:val="center"/>
          </w:tcPr>
          <w:p w14:paraId="5ABFE5E1">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1、一体化主机套装标配：2×电源，2×主控；</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2、主机提供3个业务插槽，单板均支持热插拔；</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3、交换容量不小于38.4Tbps/168Tbps、包转发率：7200Mpps/36000Mpps；</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4、支持STP/RSTP/MSTP、支持PVST、支持RRPP、支持ERPS；</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5、支持基于端口的VLAN、支持基于MAC的VLAN、基于协议的VLAN、基于IP子网的VLAN、支持QinQ、灵活QinQ、支持VLAN Mapping、支持MVRP；</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6、支持手工聚合和静态LACP协议聚合；</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7、支持IGMPv1/v2/v3、IGMPv1/v2/v3 Snooping；</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8、支持PIM-SM/PIM-DM/PIM-SSM；</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9、支持二层特性包括VLAN、IGMP Snooping、LLDP、ACL、QoS等；</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10、支持RIP/OSPF/BGP/IS-IS/VRRP；</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11、支持IPv4、IPv6路由特征；</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12、支持虚拟化堆叠技术；</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13、支持标准和扩展ACL；</w:t>
            </w:r>
            <w:r>
              <w:rPr>
                <w:rFonts w:hint="eastAsia" w:ascii="宋体" w:hAnsi="宋体" w:cs="宋体"/>
                <w:color w:val="auto"/>
                <w:kern w:val="0"/>
                <w:szCs w:val="21"/>
                <w:highlight w:val="none"/>
              </w:rPr>
              <w:br w:type="textWrapping"/>
            </w:r>
            <w:r>
              <w:rPr>
                <w:rFonts w:hint="eastAsia" w:ascii="宋体" w:hAnsi="宋体" w:cs="宋体"/>
                <w:color w:val="auto"/>
                <w:szCs w:val="21"/>
                <w:highlight w:val="none"/>
              </w:rPr>
              <w:t>14</w:t>
            </w:r>
            <w:r>
              <w:rPr>
                <w:rFonts w:hint="eastAsia" w:ascii="宋体" w:hAnsi="宋体" w:cs="宋体"/>
                <w:color w:val="auto"/>
                <w:kern w:val="0"/>
                <w:szCs w:val="21"/>
                <w:highlight w:val="none"/>
              </w:rPr>
              <w:t>、支持配置中文注释；</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15、包含2个48口万兆光口业务板卡；</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16、包含1个48口千兆电口业务板卡：48端口千兆以太网电接口模块；业务端口：48×RJ-45 10/100/1000Mbps；支持热插拔；</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17、含48个万兆多模光模块。</w:t>
            </w:r>
          </w:p>
        </w:tc>
        <w:tc>
          <w:tcPr>
            <w:tcW w:w="720" w:type="dxa"/>
            <w:vAlign w:val="center"/>
          </w:tcPr>
          <w:p w14:paraId="0EE2D88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2F99B38C">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3FEE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6" w:hRule="atLeast"/>
        </w:trPr>
        <w:tc>
          <w:tcPr>
            <w:tcW w:w="492" w:type="dxa"/>
            <w:vAlign w:val="center"/>
          </w:tcPr>
          <w:p w14:paraId="5EF273E6">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33</w:t>
            </w:r>
          </w:p>
        </w:tc>
        <w:tc>
          <w:tcPr>
            <w:tcW w:w="1068" w:type="dxa"/>
            <w:vAlign w:val="center"/>
          </w:tcPr>
          <w:p w14:paraId="165534A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维护电脑</w:t>
            </w:r>
          </w:p>
        </w:tc>
        <w:tc>
          <w:tcPr>
            <w:tcW w:w="6384" w:type="dxa"/>
            <w:vAlign w:val="center"/>
          </w:tcPr>
          <w:p w14:paraId="5DD15B9B">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国产CPU≥8核，主频≥2.0GHz；</w:t>
            </w:r>
          </w:p>
          <w:p w14:paraId="43B435F4">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内存≥16GB；</w:t>
            </w:r>
          </w:p>
          <w:p w14:paraId="7386BA03">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存储≥512GB SSD，支持1TB机械硬盘；</w:t>
            </w:r>
          </w:p>
          <w:p w14:paraId="129B0645">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显卡：独立显卡，显存≥2G ；</w:t>
            </w:r>
          </w:p>
          <w:p w14:paraId="604C3E3C">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显示器≥21.5寸；</w:t>
            </w:r>
          </w:p>
          <w:p w14:paraId="67FC7456">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含国产操作系统。</w:t>
            </w:r>
          </w:p>
        </w:tc>
        <w:tc>
          <w:tcPr>
            <w:tcW w:w="720" w:type="dxa"/>
            <w:vAlign w:val="center"/>
          </w:tcPr>
          <w:p w14:paraId="5B0800B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5D0FBDB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bl>
    <w:p w14:paraId="35483E94">
      <w:pPr>
        <w:rPr>
          <w:color w:val="auto"/>
          <w:highlight w:val="none"/>
        </w:rPr>
      </w:pPr>
    </w:p>
    <w:p w14:paraId="2F95898F">
      <w:pPr>
        <w:pStyle w:val="4"/>
        <w:pageBreakBefore/>
        <w:spacing w:line="240" w:lineRule="atLeast"/>
        <w:jc w:val="center"/>
        <w:rPr>
          <w:color w:val="auto"/>
          <w:highlight w:val="none"/>
        </w:rPr>
      </w:pPr>
      <w:bookmarkStart w:id="68" w:name="_Toc11739_WPSOffice_Level1"/>
      <w:bookmarkStart w:id="69" w:name="_Toc28998"/>
      <w:bookmarkStart w:id="70" w:name="_Toc2172"/>
      <w:bookmarkStart w:id="71" w:name="_Toc14806_WPSOffice_Level2"/>
      <w:r>
        <w:rPr>
          <w:rFonts w:hint="eastAsia"/>
          <w:color w:val="auto"/>
          <w:highlight w:val="none"/>
        </w:rPr>
        <w:t>第</w:t>
      </w:r>
      <w:bookmarkStart w:id="72" w:name="_Hlt240110027"/>
      <w:bookmarkEnd w:id="72"/>
      <w:r>
        <w:rPr>
          <w:rFonts w:hint="eastAsia"/>
          <w:color w:val="auto"/>
          <w:highlight w:val="none"/>
        </w:rPr>
        <w:t>四章 评标办法</w:t>
      </w:r>
      <w:bookmarkEnd w:id="68"/>
      <w:bookmarkEnd w:id="69"/>
      <w:bookmarkEnd w:id="70"/>
    </w:p>
    <w:p w14:paraId="16CB0BF8">
      <w:pPr>
        <w:tabs>
          <w:tab w:val="left" w:pos="360"/>
          <w:tab w:val="left" w:pos="540"/>
          <w:tab w:val="left" w:pos="3600"/>
          <w:tab w:val="left" w:pos="3780"/>
          <w:tab w:val="left" w:pos="8460"/>
          <w:tab w:val="left" w:pos="9180"/>
        </w:tabs>
        <w:adjustRightInd w:val="0"/>
        <w:snapToGrid w:val="0"/>
        <w:spacing w:line="240" w:lineRule="atLeast"/>
        <w:ind w:firstLine="3313" w:firstLineChars="1375"/>
        <w:rPr>
          <w:rFonts w:hint="eastAsia" w:ascii="宋体" w:hAnsi="宋体" w:cs="宋体"/>
          <w:b/>
          <w:color w:val="auto"/>
          <w:sz w:val="24"/>
          <w:highlight w:val="none"/>
        </w:rPr>
      </w:pPr>
      <w:bookmarkStart w:id="73" w:name="_Toc10750_WPSOffice_Level2"/>
      <w:r>
        <w:rPr>
          <w:rFonts w:hint="eastAsia" w:ascii="宋体" w:hAnsi="宋体" w:cs="宋体"/>
          <w:b/>
          <w:color w:val="auto"/>
          <w:sz w:val="24"/>
          <w:highlight w:val="none"/>
        </w:rPr>
        <w:t>一．总  则</w:t>
      </w:r>
      <w:bookmarkEnd w:id="73"/>
    </w:p>
    <w:p w14:paraId="0696D47B">
      <w:pPr>
        <w:adjustRightInd w:val="0"/>
        <w:snapToGrid w:val="0"/>
        <w:spacing w:line="360" w:lineRule="auto"/>
        <w:ind w:right="-10" w:firstLine="422" w:firstLineChars="175"/>
        <w:rPr>
          <w:rFonts w:hint="eastAsia" w:ascii="宋体" w:hAnsi="宋体" w:cs="宋体"/>
          <w:b/>
          <w:bCs/>
          <w:color w:val="auto"/>
          <w:sz w:val="24"/>
          <w:highlight w:val="none"/>
        </w:rPr>
      </w:pPr>
      <w:r>
        <w:rPr>
          <w:rFonts w:hint="eastAsia" w:ascii="宋体" w:hAnsi="宋体" w:cs="宋体"/>
          <w:b/>
          <w:bCs/>
          <w:color w:val="auto"/>
          <w:sz w:val="24"/>
          <w:highlight w:val="none"/>
        </w:rPr>
        <w:t xml:space="preserve">第一条 </w:t>
      </w:r>
      <w:r>
        <w:rPr>
          <w:rFonts w:hint="eastAsia" w:ascii="宋体" w:hAnsi="宋体" w:cs="宋体"/>
          <w:color w:val="auto"/>
          <w:sz w:val="24"/>
          <w:highlight w:val="none"/>
        </w:rPr>
        <w:t>为了做好</w:t>
      </w:r>
      <w:r>
        <w:rPr>
          <w:rFonts w:hint="eastAsia" w:ascii="宋体" w:hAnsi="宋体" w:cs="宋体"/>
          <w:b/>
          <w:bCs/>
          <w:color w:val="auto"/>
          <w:sz w:val="24"/>
          <w:highlight w:val="none"/>
        </w:rPr>
        <w:t>本项目（</w:t>
      </w:r>
      <w:r>
        <w:rPr>
          <w:rFonts w:hint="eastAsia" w:ascii="宋体" w:hAnsi="宋体" w:cs="宋体"/>
          <w:b/>
          <w:color w:val="auto"/>
          <w:sz w:val="24"/>
          <w:highlight w:val="none"/>
        </w:rPr>
        <w:t>项目编号: 周财招标采购-2025-54</w:t>
      </w:r>
      <w:r>
        <w:rPr>
          <w:rFonts w:hint="eastAsia" w:ascii="宋体" w:hAnsi="宋体" w:cs="宋体"/>
          <w:b/>
          <w:bCs/>
          <w:color w:val="auto"/>
          <w:sz w:val="24"/>
          <w:highlight w:val="none"/>
        </w:rPr>
        <w:t>）</w:t>
      </w:r>
      <w:r>
        <w:rPr>
          <w:rFonts w:hint="eastAsia" w:ascii="宋体" w:hAnsi="宋体" w:cs="宋体"/>
          <w:color w:val="auto"/>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63622CAD">
      <w:pPr>
        <w:adjustRightInd w:val="0"/>
        <w:snapToGrid w:val="0"/>
        <w:spacing w:line="360" w:lineRule="auto"/>
        <w:ind w:right="-10" w:firstLine="422" w:firstLineChars="175"/>
        <w:rPr>
          <w:rFonts w:hint="eastAsia" w:ascii="宋体" w:hAnsi="宋体" w:cs="宋体"/>
          <w:color w:val="auto"/>
          <w:sz w:val="24"/>
          <w:highlight w:val="none"/>
        </w:rPr>
      </w:pPr>
      <w:r>
        <w:rPr>
          <w:rFonts w:hint="eastAsia" w:ascii="宋体" w:hAnsi="宋体" w:cs="宋体"/>
          <w:b/>
          <w:bCs/>
          <w:color w:val="auto"/>
          <w:sz w:val="24"/>
          <w:highlight w:val="none"/>
        </w:rPr>
        <w:t xml:space="preserve">第二条 </w:t>
      </w:r>
      <w:r>
        <w:rPr>
          <w:rFonts w:hint="eastAsia" w:ascii="宋体" w:hAnsi="宋体" w:cs="宋体"/>
          <w:color w:val="auto"/>
          <w:sz w:val="24"/>
          <w:highlight w:val="none"/>
        </w:rPr>
        <w:t>本次项目评标采用</w:t>
      </w:r>
      <w:r>
        <w:rPr>
          <w:rFonts w:hint="eastAsia" w:ascii="宋体" w:hAnsi="宋体" w:cs="宋体"/>
          <w:b/>
          <w:color w:val="auto"/>
          <w:sz w:val="24"/>
          <w:highlight w:val="none"/>
        </w:rPr>
        <w:t>综合评分法</w:t>
      </w:r>
      <w:r>
        <w:rPr>
          <w:rFonts w:hint="eastAsia" w:ascii="宋体" w:hAnsi="宋体" w:cs="宋体"/>
          <w:color w:val="auto"/>
          <w:sz w:val="24"/>
          <w:highlight w:val="none"/>
        </w:rPr>
        <w:t>作为对投标人标书的比较方法。</w:t>
      </w:r>
    </w:p>
    <w:p w14:paraId="4858D951">
      <w:pPr>
        <w:adjustRightInd w:val="0"/>
        <w:snapToGrid w:val="0"/>
        <w:spacing w:line="360" w:lineRule="auto"/>
        <w:ind w:left="-61" w:leftChars="-29"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第三条 </w:t>
      </w:r>
      <w:r>
        <w:rPr>
          <w:rFonts w:hint="eastAsia" w:ascii="宋体" w:hAnsi="宋体" w:cs="宋体"/>
          <w:color w:val="auto"/>
          <w:sz w:val="24"/>
          <w:highlight w:val="none"/>
        </w:rPr>
        <w:t>按照《中华人民共和国政府采购法》及其相关规定组成评标委员会负责本项目的评审工作。评标委员会</w:t>
      </w:r>
      <w:r>
        <w:rPr>
          <w:rFonts w:hint="eastAsia" w:ascii="宋体" w:hAnsi="宋体" w:cs="宋体"/>
          <w:color w:val="auto"/>
          <w:sz w:val="24"/>
          <w:szCs w:val="22"/>
          <w:highlight w:val="none"/>
        </w:rPr>
        <w:t>在政府采购专家库中随机抽取。</w:t>
      </w:r>
    </w:p>
    <w:p w14:paraId="1395C48E">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第四条 </w:t>
      </w:r>
      <w:r>
        <w:rPr>
          <w:rFonts w:hint="eastAsia" w:ascii="宋体" w:hAnsi="宋体" w:cs="宋体"/>
          <w:color w:val="auto"/>
          <w:sz w:val="24"/>
          <w:highlight w:val="none"/>
        </w:rPr>
        <w:t>评委会按照“客观公正，实事求是”的原则，评价参加本次招标的投标人所提供的产品价格、性能、质量、服务及对招标文件的符合性及响应性。</w:t>
      </w:r>
    </w:p>
    <w:p w14:paraId="73A2440A">
      <w:pPr>
        <w:adjustRightInd w:val="0"/>
        <w:snapToGrid w:val="0"/>
        <w:spacing w:line="360" w:lineRule="auto"/>
        <w:jc w:val="center"/>
        <w:rPr>
          <w:rFonts w:hint="eastAsia" w:ascii="宋体" w:hAnsi="宋体" w:cs="宋体"/>
          <w:color w:val="auto"/>
          <w:sz w:val="24"/>
          <w:highlight w:val="none"/>
        </w:rPr>
      </w:pPr>
      <w:bookmarkStart w:id="74" w:name="_Toc31922_WPSOffice_Level2"/>
      <w:r>
        <w:rPr>
          <w:rFonts w:hint="eastAsia" w:ascii="宋体" w:hAnsi="宋体" w:cs="宋体"/>
          <w:b/>
          <w:color w:val="auto"/>
          <w:sz w:val="24"/>
          <w:highlight w:val="none"/>
        </w:rPr>
        <w:t>二．评标程序及评审细则</w:t>
      </w:r>
      <w:bookmarkEnd w:id="74"/>
    </w:p>
    <w:p w14:paraId="33192646">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第五条</w:t>
      </w:r>
      <w:r>
        <w:rPr>
          <w:rFonts w:hint="eastAsia" w:ascii="宋体" w:hAnsi="宋体" w:cs="宋体"/>
          <w:bCs/>
          <w:color w:val="auto"/>
          <w:sz w:val="24"/>
          <w:highlight w:val="none"/>
        </w:rPr>
        <w:t xml:space="preserve"> 评标工作于开标后进行。评委会应认真研究招标文件，至少应了解和熟悉以下内容：</w:t>
      </w:r>
    </w:p>
    <w:p w14:paraId="66DE21F8">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（一）招标的目标；</w:t>
      </w:r>
    </w:p>
    <w:p w14:paraId="72CA1F6D">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（二）招标项目的范围和性质；</w:t>
      </w:r>
    </w:p>
    <w:p w14:paraId="4F248DDC">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（三）招标文件中规定的主要技术要求、标准和商务条款；</w:t>
      </w:r>
    </w:p>
    <w:p w14:paraId="4863151A">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（四）招标文件规定的评标标准、评标方法和在评标过程中考虑的相关因素。</w:t>
      </w:r>
    </w:p>
    <w:p w14:paraId="1C2D5AAB">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第六条</w:t>
      </w:r>
      <w:r>
        <w:rPr>
          <w:rFonts w:hint="eastAsia" w:ascii="宋体" w:hAnsi="宋体" w:cs="宋体"/>
          <w:bCs/>
          <w:color w:val="auto"/>
          <w:sz w:val="24"/>
          <w:highlight w:val="none"/>
        </w:rPr>
        <w:t xml:space="preserve"> 有效投标应符合以下原则：</w:t>
      </w:r>
    </w:p>
    <w:p w14:paraId="12FC0BE5">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（一）满足招标文件的实质性要求；</w:t>
      </w:r>
    </w:p>
    <w:p w14:paraId="6A610563">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（二）无重大偏离、保留或采购人不能接受的附加条件；</w:t>
      </w:r>
    </w:p>
    <w:p w14:paraId="2718A5D2">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（三）通过投标符合性审查；</w:t>
      </w:r>
    </w:p>
    <w:p w14:paraId="779E309E">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（四）评委会依据招标文件认定的其他原则；</w:t>
      </w:r>
    </w:p>
    <w:p w14:paraId="0ABC1A9B">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（五）商务偏差表或技术偏差表数据不存在弄虚作假现象；</w:t>
      </w:r>
    </w:p>
    <w:p w14:paraId="6D5573DD">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（六）投标人报价未超过采购人的采购预算。</w:t>
      </w:r>
    </w:p>
    <w:p w14:paraId="024AD109">
      <w:pPr>
        <w:adjustRightInd w:val="0"/>
        <w:snapToGrid w:val="0"/>
        <w:spacing w:line="360" w:lineRule="auto"/>
        <w:ind w:right="-10" w:firstLine="482" w:firstLineChars="200"/>
        <w:rPr>
          <w:rFonts w:hint="eastAsia" w:ascii="宋体" w:hAnsi="宋体" w:cs="宋体"/>
          <w:bCs/>
          <w:color w:val="auto"/>
          <w:sz w:val="24"/>
          <w:szCs w:val="22"/>
          <w:highlight w:val="none"/>
        </w:rPr>
      </w:pPr>
      <w:r>
        <w:rPr>
          <w:rFonts w:hint="eastAsia" w:ascii="宋体" w:hAnsi="宋体" w:cs="宋体"/>
          <w:b/>
          <w:color w:val="auto"/>
          <w:sz w:val="24"/>
          <w:highlight w:val="none"/>
        </w:rPr>
        <w:t xml:space="preserve">第七条 </w:t>
      </w:r>
      <w:r>
        <w:rPr>
          <w:rFonts w:hint="eastAsia" w:ascii="宋体" w:hAnsi="宋体" w:cs="宋体"/>
          <w:color w:val="auto"/>
          <w:sz w:val="24"/>
          <w:highlight w:val="none"/>
        </w:rPr>
        <w:t>评委会从每个投标人的投标文件开始独立评审，对开标后投标人所提出的优惠条件不予以考虑。按</w:t>
      </w:r>
      <w:r>
        <w:rPr>
          <w:rFonts w:hint="eastAsia" w:ascii="宋体" w:hAnsi="宋体" w:cs="宋体"/>
          <w:bCs/>
          <w:color w:val="auto"/>
          <w:sz w:val="24"/>
          <w:szCs w:val="22"/>
          <w:highlight w:val="none"/>
        </w:rPr>
        <w:t>综合得分从高到低的顺序评出中标候选人。</w:t>
      </w:r>
    </w:p>
    <w:p w14:paraId="0B42018B">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第八条 </w:t>
      </w:r>
      <w:r>
        <w:rPr>
          <w:rFonts w:hint="eastAsia" w:ascii="宋体" w:hAnsi="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E41D89C">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第九条</w:t>
      </w:r>
      <w:r>
        <w:rPr>
          <w:rFonts w:hint="eastAsia" w:ascii="宋体" w:hAnsi="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35"/>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87"/>
        <w:gridCol w:w="2418"/>
        <w:gridCol w:w="1020"/>
        <w:gridCol w:w="2327"/>
      </w:tblGrid>
      <w:tr w14:paraId="40740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vAlign w:val="center"/>
          </w:tcPr>
          <w:p w14:paraId="3F1FC276">
            <w:pPr>
              <w:pStyle w:val="232"/>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highlight w:val="none"/>
              </w:rPr>
            </w:pPr>
            <w:r>
              <w:rPr>
                <w:rFonts w:hint="eastAsia" w:ascii="宋体" w:hAnsi="宋体" w:cs="宋体"/>
                <w:b/>
                <w:color w:val="auto"/>
                <w:kern w:val="2"/>
                <w:highlight w:val="none"/>
              </w:rPr>
              <w:t>项目符合性审查表</w:t>
            </w:r>
          </w:p>
        </w:tc>
      </w:tr>
      <w:tr w14:paraId="37C0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vAlign w:val="center"/>
          </w:tcPr>
          <w:p w14:paraId="3E1165F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887" w:type="dxa"/>
            <w:tcBorders>
              <w:bottom w:val="single" w:color="auto" w:sz="4" w:space="0"/>
            </w:tcBorders>
            <w:vAlign w:val="center"/>
          </w:tcPr>
          <w:p w14:paraId="3C82AD65">
            <w:pPr>
              <w:pStyle w:val="232"/>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highlight w:val="none"/>
              </w:rPr>
            </w:pPr>
            <w:r>
              <w:rPr>
                <w:rFonts w:hint="eastAsia" w:ascii="宋体" w:hAnsi="宋体" w:cs="宋体"/>
                <w:color w:val="auto"/>
                <w:kern w:val="2"/>
                <w:highlight w:val="none"/>
              </w:rPr>
              <w:t>指标名称</w:t>
            </w:r>
          </w:p>
        </w:tc>
        <w:tc>
          <w:tcPr>
            <w:tcW w:w="2418" w:type="dxa"/>
            <w:tcBorders>
              <w:bottom w:val="single" w:color="auto" w:sz="4" w:space="0"/>
            </w:tcBorders>
            <w:vAlign w:val="center"/>
          </w:tcPr>
          <w:p w14:paraId="7C42D9A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1020" w:type="dxa"/>
            <w:tcBorders>
              <w:bottom w:val="single" w:color="auto" w:sz="4" w:space="0"/>
            </w:tcBorders>
            <w:vAlign w:val="center"/>
          </w:tcPr>
          <w:p w14:paraId="2BA4ACF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678C5CB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27" w:type="dxa"/>
            <w:tcBorders>
              <w:bottom w:val="single" w:color="auto" w:sz="4" w:space="0"/>
            </w:tcBorders>
            <w:vAlign w:val="center"/>
          </w:tcPr>
          <w:p w14:paraId="0ECDC24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06A309E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7DAA4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712" w:type="dxa"/>
            <w:tcBorders>
              <w:bottom w:val="single" w:color="auto" w:sz="4" w:space="0"/>
            </w:tcBorders>
            <w:vAlign w:val="center"/>
          </w:tcPr>
          <w:p w14:paraId="6396826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887" w:type="dxa"/>
            <w:tcBorders>
              <w:bottom w:val="single" w:color="auto" w:sz="4" w:space="0"/>
            </w:tcBorders>
            <w:vAlign w:val="center"/>
          </w:tcPr>
          <w:p w14:paraId="2015133E">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投标人资格</w:t>
            </w:r>
          </w:p>
        </w:tc>
        <w:tc>
          <w:tcPr>
            <w:tcW w:w="2418" w:type="dxa"/>
            <w:tcBorders>
              <w:bottom w:val="single" w:color="auto" w:sz="4" w:space="0"/>
            </w:tcBorders>
            <w:vAlign w:val="center"/>
          </w:tcPr>
          <w:p w14:paraId="638FEDFD">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1020" w:type="dxa"/>
            <w:tcBorders>
              <w:bottom w:val="single" w:color="auto" w:sz="4" w:space="0"/>
            </w:tcBorders>
            <w:vAlign w:val="center"/>
          </w:tcPr>
          <w:p w14:paraId="23A9F328">
            <w:pPr>
              <w:adjustRightInd w:val="0"/>
              <w:snapToGrid w:val="0"/>
              <w:spacing w:line="360" w:lineRule="auto"/>
              <w:ind w:right="-10"/>
              <w:rPr>
                <w:rFonts w:hint="eastAsia" w:ascii="宋体" w:hAnsi="宋体" w:cs="宋体"/>
                <w:color w:val="auto"/>
                <w:sz w:val="24"/>
                <w:highlight w:val="none"/>
              </w:rPr>
            </w:pPr>
          </w:p>
        </w:tc>
        <w:tc>
          <w:tcPr>
            <w:tcW w:w="2327" w:type="dxa"/>
            <w:tcBorders>
              <w:bottom w:val="single" w:color="auto" w:sz="4" w:space="0"/>
            </w:tcBorders>
            <w:vAlign w:val="center"/>
          </w:tcPr>
          <w:p w14:paraId="49E1FCC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804B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vAlign w:val="center"/>
          </w:tcPr>
          <w:p w14:paraId="095637F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887" w:type="dxa"/>
            <w:tcBorders>
              <w:bottom w:val="single" w:color="auto" w:sz="4" w:space="0"/>
            </w:tcBorders>
            <w:vAlign w:val="center"/>
          </w:tcPr>
          <w:p w14:paraId="4BAE52DA">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服务要求</w:t>
            </w:r>
          </w:p>
        </w:tc>
        <w:tc>
          <w:tcPr>
            <w:tcW w:w="2418" w:type="dxa"/>
            <w:tcBorders>
              <w:bottom w:val="single" w:color="auto" w:sz="4" w:space="0"/>
            </w:tcBorders>
            <w:vAlign w:val="center"/>
          </w:tcPr>
          <w:p w14:paraId="79AD57A6">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1020" w:type="dxa"/>
            <w:tcBorders>
              <w:bottom w:val="single" w:color="auto" w:sz="4" w:space="0"/>
            </w:tcBorders>
            <w:vAlign w:val="center"/>
          </w:tcPr>
          <w:p w14:paraId="0A086F13">
            <w:pPr>
              <w:adjustRightInd w:val="0"/>
              <w:snapToGrid w:val="0"/>
              <w:spacing w:line="360" w:lineRule="auto"/>
              <w:ind w:right="-10"/>
              <w:rPr>
                <w:rFonts w:hint="eastAsia" w:ascii="宋体" w:hAnsi="宋体" w:cs="宋体"/>
                <w:color w:val="auto"/>
                <w:sz w:val="24"/>
                <w:highlight w:val="none"/>
              </w:rPr>
            </w:pPr>
          </w:p>
        </w:tc>
        <w:tc>
          <w:tcPr>
            <w:tcW w:w="2327" w:type="dxa"/>
            <w:tcBorders>
              <w:bottom w:val="single" w:color="auto" w:sz="4" w:space="0"/>
            </w:tcBorders>
            <w:vAlign w:val="center"/>
          </w:tcPr>
          <w:p w14:paraId="0099D17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A68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vAlign w:val="center"/>
          </w:tcPr>
          <w:p w14:paraId="57C59D5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887" w:type="dxa"/>
            <w:tcBorders>
              <w:bottom w:val="single" w:color="auto" w:sz="4" w:space="0"/>
            </w:tcBorders>
            <w:vAlign w:val="center"/>
          </w:tcPr>
          <w:p w14:paraId="53332648">
            <w:pPr>
              <w:widowControl/>
              <w:adjustRightInd w:val="0"/>
              <w:snapToGrid w:val="0"/>
              <w:spacing w:line="400" w:lineRule="exact"/>
              <w:jc w:val="center"/>
              <w:rPr>
                <w:rFonts w:ascii="宋体" w:cs="宋体"/>
                <w:color w:val="auto"/>
                <w:kern w:val="0"/>
                <w:sz w:val="24"/>
                <w:highlight w:val="none"/>
              </w:rPr>
            </w:pPr>
            <w:r>
              <w:rPr>
                <w:rFonts w:hint="eastAsia" w:ascii="宋体" w:hAnsi="宋体" w:cs="宋体"/>
                <w:color w:val="auto"/>
                <w:kern w:val="0"/>
                <w:sz w:val="24"/>
                <w:highlight w:val="none"/>
              </w:rPr>
              <w:t>投标文件签署、盖章</w:t>
            </w:r>
          </w:p>
        </w:tc>
        <w:tc>
          <w:tcPr>
            <w:tcW w:w="2418" w:type="dxa"/>
            <w:tcBorders>
              <w:bottom w:val="single" w:color="auto" w:sz="4" w:space="0"/>
            </w:tcBorders>
            <w:vAlign w:val="center"/>
          </w:tcPr>
          <w:p w14:paraId="6C50755D">
            <w:pPr>
              <w:widowControl/>
              <w:adjustRightInd w:val="0"/>
              <w:snapToGrid w:val="0"/>
              <w:spacing w:line="400" w:lineRule="exact"/>
              <w:jc w:val="center"/>
              <w:rPr>
                <w:rFonts w:ascii="宋体" w:cs="宋体"/>
                <w:color w:val="auto"/>
                <w:kern w:val="0"/>
                <w:sz w:val="24"/>
                <w:highlight w:val="none"/>
              </w:rPr>
            </w:pPr>
            <w:r>
              <w:rPr>
                <w:rFonts w:hint="eastAsia" w:ascii="宋体" w:hAnsi="宋体" w:cs="宋体"/>
                <w:color w:val="auto"/>
                <w:sz w:val="24"/>
                <w:szCs w:val="28"/>
                <w:highlight w:val="none"/>
              </w:rPr>
              <w:t>见招标文件</w:t>
            </w:r>
          </w:p>
        </w:tc>
        <w:tc>
          <w:tcPr>
            <w:tcW w:w="1020" w:type="dxa"/>
            <w:tcBorders>
              <w:bottom w:val="single" w:color="auto" w:sz="4" w:space="0"/>
            </w:tcBorders>
            <w:vAlign w:val="center"/>
          </w:tcPr>
          <w:p w14:paraId="65B36F7D">
            <w:pPr>
              <w:adjustRightInd w:val="0"/>
              <w:snapToGrid w:val="0"/>
              <w:spacing w:line="360" w:lineRule="auto"/>
              <w:ind w:right="-10"/>
              <w:jc w:val="center"/>
              <w:rPr>
                <w:rFonts w:hint="eastAsia" w:ascii="宋体" w:hAnsi="宋体" w:cs="宋体"/>
                <w:color w:val="auto"/>
                <w:sz w:val="24"/>
                <w:highlight w:val="none"/>
              </w:rPr>
            </w:pPr>
          </w:p>
        </w:tc>
        <w:tc>
          <w:tcPr>
            <w:tcW w:w="2327" w:type="dxa"/>
            <w:tcBorders>
              <w:bottom w:val="single" w:color="auto" w:sz="4" w:space="0"/>
            </w:tcBorders>
            <w:vAlign w:val="center"/>
          </w:tcPr>
          <w:p w14:paraId="2FC8EE3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9FD0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vAlign w:val="center"/>
          </w:tcPr>
          <w:p w14:paraId="2BCB3E6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887" w:type="dxa"/>
            <w:tcBorders>
              <w:bottom w:val="single" w:color="auto" w:sz="4" w:space="0"/>
            </w:tcBorders>
            <w:vAlign w:val="center"/>
          </w:tcPr>
          <w:p w14:paraId="2F24D513">
            <w:pPr>
              <w:pStyle w:val="232"/>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highlight w:val="none"/>
              </w:rPr>
            </w:pPr>
            <w:r>
              <w:rPr>
                <w:rFonts w:hint="eastAsia" w:ascii="宋体" w:hAnsi="宋体" w:cs="宋体"/>
                <w:color w:val="auto"/>
                <w:highlight w:val="none"/>
              </w:rPr>
              <w:t>投标文件格式</w:t>
            </w:r>
          </w:p>
        </w:tc>
        <w:tc>
          <w:tcPr>
            <w:tcW w:w="2418" w:type="dxa"/>
            <w:tcBorders>
              <w:bottom w:val="single" w:color="auto" w:sz="4" w:space="0"/>
            </w:tcBorders>
            <w:vAlign w:val="center"/>
          </w:tcPr>
          <w:p w14:paraId="330EF87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szCs w:val="28"/>
                <w:highlight w:val="none"/>
              </w:rPr>
              <w:t>见招标文件</w:t>
            </w:r>
          </w:p>
        </w:tc>
        <w:tc>
          <w:tcPr>
            <w:tcW w:w="1020" w:type="dxa"/>
            <w:tcBorders>
              <w:bottom w:val="single" w:color="auto" w:sz="4" w:space="0"/>
            </w:tcBorders>
            <w:vAlign w:val="center"/>
          </w:tcPr>
          <w:p w14:paraId="605EE0C5">
            <w:pPr>
              <w:adjustRightInd w:val="0"/>
              <w:snapToGrid w:val="0"/>
              <w:spacing w:line="360" w:lineRule="auto"/>
              <w:ind w:right="-10"/>
              <w:jc w:val="center"/>
              <w:rPr>
                <w:rFonts w:hint="eastAsia" w:ascii="宋体" w:hAnsi="宋体" w:cs="宋体"/>
                <w:color w:val="auto"/>
                <w:sz w:val="24"/>
                <w:highlight w:val="none"/>
              </w:rPr>
            </w:pPr>
          </w:p>
        </w:tc>
        <w:tc>
          <w:tcPr>
            <w:tcW w:w="2327" w:type="dxa"/>
            <w:tcBorders>
              <w:bottom w:val="single" w:color="auto" w:sz="4" w:space="0"/>
            </w:tcBorders>
            <w:vAlign w:val="center"/>
          </w:tcPr>
          <w:p w14:paraId="32E1C2D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79D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vAlign w:val="center"/>
          </w:tcPr>
          <w:p w14:paraId="1AA2A48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1887" w:type="dxa"/>
            <w:tcBorders>
              <w:bottom w:val="single" w:color="auto" w:sz="4" w:space="0"/>
            </w:tcBorders>
            <w:vAlign w:val="center"/>
          </w:tcPr>
          <w:p w14:paraId="6C8DA1F5">
            <w:pPr>
              <w:pStyle w:val="232"/>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highlight w:val="none"/>
              </w:rPr>
            </w:pPr>
            <w:r>
              <w:rPr>
                <w:rFonts w:hint="eastAsia" w:ascii="宋体" w:hAnsi="宋体" w:cs="宋体"/>
                <w:color w:val="auto"/>
                <w:highlight w:val="none"/>
              </w:rPr>
              <w:t>总报价唯一</w:t>
            </w:r>
          </w:p>
        </w:tc>
        <w:tc>
          <w:tcPr>
            <w:tcW w:w="2418" w:type="dxa"/>
            <w:tcBorders>
              <w:bottom w:val="single" w:color="auto" w:sz="4" w:space="0"/>
            </w:tcBorders>
            <w:vAlign w:val="center"/>
          </w:tcPr>
          <w:p w14:paraId="108B1D9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kern w:val="0"/>
                <w:sz w:val="24"/>
                <w:highlight w:val="none"/>
              </w:rPr>
              <w:t>只能有一个有效报价</w:t>
            </w:r>
          </w:p>
        </w:tc>
        <w:tc>
          <w:tcPr>
            <w:tcW w:w="1020" w:type="dxa"/>
            <w:tcBorders>
              <w:bottom w:val="single" w:color="auto" w:sz="4" w:space="0"/>
            </w:tcBorders>
            <w:vAlign w:val="center"/>
          </w:tcPr>
          <w:p w14:paraId="43FA8E0F">
            <w:pPr>
              <w:adjustRightInd w:val="0"/>
              <w:snapToGrid w:val="0"/>
              <w:spacing w:line="360" w:lineRule="auto"/>
              <w:ind w:right="-10"/>
              <w:jc w:val="center"/>
              <w:rPr>
                <w:rFonts w:hint="eastAsia" w:ascii="宋体" w:hAnsi="宋体" w:cs="宋体"/>
                <w:color w:val="auto"/>
                <w:sz w:val="24"/>
                <w:highlight w:val="none"/>
              </w:rPr>
            </w:pPr>
          </w:p>
        </w:tc>
        <w:tc>
          <w:tcPr>
            <w:tcW w:w="2327" w:type="dxa"/>
            <w:tcBorders>
              <w:bottom w:val="single" w:color="auto" w:sz="4" w:space="0"/>
            </w:tcBorders>
            <w:vAlign w:val="center"/>
          </w:tcPr>
          <w:p w14:paraId="7E28A06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7C8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trPr>
        <w:tc>
          <w:tcPr>
            <w:tcW w:w="712" w:type="dxa"/>
            <w:tcBorders>
              <w:bottom w:val="single" w:color="auto" w:sz="4" w:space="0"/>
            </w:tcBorders>
            <w:vAlign w:val="center"/>
          </w:tcPr>
          <w:p w14:paraId="6EA97FC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1887" w:type="dxa"/>
            <w:tcBorders>
              <w:bottom w:val="single" w:color="auto" w:sz="4" w:space="0"/>
            </w:tcBorders>
            <w:vAlign w:val="center"/>
          </w:tcPr>
          <w:p w14:paraId="7798FFA3">
            <w:pPr>
              <w:widowControl/>
              <w:adjustRightInd w:val="0"/>
              <w:snapToGrid w:val="0"/>
              <w:spacing w:line="400" w:lineRule="exact"/>
              <w:jc w:val="center"/>
              <w:rPr>
                <w:rFonts w:ascii="宋体" w:cs="宋体"/>
                <w:color w:val="auto"/>
                <w:kern w:val="0"/>
                <w:sz w:val="24"/>
                <w:highlight w:val="none"/>
              </w:rPr>
            </w:pPr>
            <w:r>
              <w:rPr>
                <w:rFonts w:hint="eastAsia" w:ascii="宋体" w:hAnsi="宋体" w:cs="宋体"/>
                <w:color w:val="auto"/>
                <w:kern w:val="0"/>
                <w:sz w:val="24"/>
                <w:highlight w:val="none"/>
              </w:rPr>
              <w:t>投标报价</w:t>
            </w:r>
          </w:p>
        </w:tc>
        <w:tc>
          <w:tcPr>
            <w:tcW w:w="2418" w:type="dxa"/>
            <w:tcBorders>
              <w:bottom w:val="single" w:color="auto" w:sz="4" w:space="0"/>
            </w:tcBorders>
            <w:vAlign w:val="center"/>
          </w:tcPr>
          <w:p w14:paraId="43940F85">
            <w:pPr>
              <w:widowControl/>
              <w:adjustRightInd w:val="0"/>
              <w:snapToGrid w:val="0"/>
              <w:spacing w:line="400" w:lineRule="exact"/>
              <w:jc w:val="center"/>
              <w:rPr>
                <w:rFonts w:ascii="宋体" w:cs="宋体"/>
                <w:color w:val="auto"/>
                <w:kern w:val="0"/>
                <w:sz w:val="24"/>
                <w:highlight w:val="none"/>
              </w:rPr>
            </w:pPr>
            <w:r>
              <w:rPr>
                <w:rFonts w:hint="eastAsia" w:ascii="宋体" w:hAnsi="宋体" w:cs="宋体"/>
                <w:color w:val="auto"/>
                <w:kern w:val="0"/>
                <w:sz w:val="24"/>
                <w:highlight w:val="none"/>
              </w:rPr>
              <w:t>投标人所投标包投标报价不可超过所投标包最高限价。</w:t>
            </w:r>
          </w:p>
        </w:tc>
        <w:tc>
          <w:tcPr>
            <w:tcW w:w="1020" w:type="dxa"/>
            <w:tcBorders>
              <w:bottom w:val="single" w:color="auto" w:sz="4" w:space="0"/>
            </w:tcBorders>
            <w:vAlign w:val="center"/>
          </w:tcPr>
          <w:p w14:paraId="22242C2C">
            <w:pPr>
              <w:adjustRightInd w:val="0"/>
              <w:snapToGrid w:val="0"/>
              <w:spacing w:line="360" w:lineRule="auto"/>
              <w:ind w:right="-10"/>
              <w:jc w:val="center"/>
              <w:rPr>
                <w:rFonts w:hint="eastAsia" w:ascii="宋体" w:hAnsi="宋体" w:cs="宋体"/>
                <w:color w:val="auto"/>
                <w:sz w:val="24"/>
                <w:highlight w:val="none"/>
              </w:rPr>
            </w:pPr>
          </w:p>
        </w:tc>
        <w:tc>
          <w:tcPr>
            <w:tcW w:w="2327" w:type="dxa"/>
            <w:tcBorders>
              <w:bottom w:val="single" w:color="auto" w:sz="4" w:space="0"/>
            </w:tcBorders>
            <w:vAlign w:val="center"/>
          </w:tcPr>
          <w:p w14:paraId="60BF591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912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vAlign w:val="center"/>
          </w:tcPr>
          <w:p w14:paraId="5D72FAD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1887" w:type="dxa"/>
            <w:tcBorders>
              <w:bottom w:val="single" w:color="auto" w:sz="4" w:space="0"/>
            </w:tcBorders>
            <w:vAlign w:val="center"/>
          </w:tcPr>
          <w:p w14:paraId="1F0D708F">
            <w:pPr>
              <w:pStyle w:val="232"/>
              <w:pBdr>
                <w:bottom w:val="none" w:color="auto" w:sz="0" w:space="0"/>
              </w:pBdr>
              <w:tabs>
                <w:tab w:val="clear" w:pos="4153"/>
                <w:tab w:val="clear" w:pos="8306"/>
              </w:tabs>
              <w:snapToGrid w:val="0"/>
              <w:spacing w:line="360" w:lineRule="auto"/>
              <w:ind w:right="-10" w:firstLine="480" w:firstLineChars="200"/>
              <w:textAlignment w:val="auto"/>
              <w:rPr>
                <w:rFonts w:hint="eastAsia" w:ascii="宋体" w:hAnsi="宋体" w:cs="宋体"/>
                <w:color w:val="auto"/>
                <w:kern w:val="2"/>
                <w:highlight w:val="none"/>
              </w:rPr>
            </w:pPr>
            <w:r>
              <w:rPr>
                <w:rFonts w:hint="eastAsia" w:ascii="宋体" w:hAnsi="宋体" w:cs="宋体"/>
                <w:color w:val="auto"/>
                <w:highlight w:val="none"/>
              </w:rPr>
              <w:t>服务期限</w:t>
            </w:r>
          </w:p>
        </w:tc>
        <w:tc>
          <w:tcPr>
            <w:tcW w:w="2418" w:type="dxa"/>
            <w:tcBorders>
              <w:bottom w:val="single" w:color="auto" w:sz="4" w:space="0"/>
            </w:tcBorders>
            <w:vAlign w:val="center"/>
          </w:tcPr>
          <w:p w14:paraId="61A3D3B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szCs w:val="28"/>
                <w:highlight w:val="none"/>
              </w:rPr>
              <w:t>见招标文件</w:t>
            </w:r>
          </w:p>
        </w:tc>
        <w:tc>
          <w:tcPr>
            <w:tcW w:w="1020" w:type="dxa"/>
            <w:tcBorders>
              <w:bottom w:val="single" w:color="auto" w:sz="4" w:space="0"/>
            </w:tcBorders>
            <w:vAlign w:val="center"/>
          </w:tcPr>
          <w:p w14:paraId="64FF3042">
            <w:pPr>
              <w:adjustRightInd w:val="0"/>
              <w:snapToGrid w:val="0"/>
              <w:spacing w:line="360" w:lineRule="auto"/>
              <w:ind w:right="-10"/>
              <w:jc w:val="center"/>
              <w:rPr>
                <w:rFonts w:hint="eastAsia" w:ascii="宋体" w:hAnsi="宋体" w:cs="宋体"/>
                <w:color w:val="auto"/>
                <w:sz w:val="24"/>
                <w:highlight w:val="none"/>
              </w:rPr>
            </w:pPr>
          </w:p>
        </w:tc>
        <w:tc>
          <w:tcPr>
            <w:tcW w:w="2327" w:type="dxa"/>
            <w:tcBorders>
              <w:bottom w:val="single" w:color="auto" w:sz="4" w:space="0"/>
            </w:tcBorders>
            <w:vAlign w:val="center"/>
          </w:tcPr>
          <w:p w14:paraId="2CEB471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D811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29EF382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1887" w:type="dxa"/>
            <w:vAlign w:val="center"/>
          </w:tcPr>
          <w:p w14:paraId="5948FD03">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kern w:val="0"/>
                <w:sz w:val="24"/>
                <w:highlight w:val="none"/>
              </w:rPr>
              <w:t>服务地点</w:t>
            </w:r>
          </w:p>
        </w:tc>
        <w:tc>
          <w:tcPr>
            <w:tcW w:w="2418" w:type="dxa"/>
            <w:vAlign w:val="center"/>
          </w:tcPr>
          <w:p w14:paraId="601F50A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szCs w:val="28"/>
                <w:highlight w:val="none"/>
              </w:rPr>
              <w:t>见招标文件</w:t>
            </w:r>
          </w:p>
        </w:tc>
        <w:tc>
          <w:tcPr>
            <w:tcW w:w="1020" w:type="dxa"/>
            <w:vAlign w:val="center"/>
          </w:tcPr>
          <w:p w14:paraId="2C66EEF7">
            <w:pPr>
              <w:adjustRightInd w:val="0"/>
              <w:snapToGrid w:val="0"/>
              <w:spacing w:line="360" w:lineRule="auto"/>
              <w:ind w:right="-10"/>
              <w:jc w:val="center"/>
              <w:rPr>
                <w:rFonts w:hint="eastAsia" w:ascii="宋体" w:hAnsi="宋体" w:cs="宋体"/>
                <w:color w:val="auto"/>
                <w:sz w:val="24"/>
                <w:highlight w:val="none"/>
              </w:rPr>
            </w:pPr>
          </w:p>
        </w:tc>
        <w:tc>
          <w:tcPr>
            <w:tcW w:w="2327" w:type="dxa"/>
            <w:vAlign w:val="center"/>
          </w:tcPr>
          <w:p w14:paraId="03EA45B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BEB6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vAlign w:val="center"/>
          </w:tcPr>
          <w:p w14:paraId="6B8E6EB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1887" w:type="dxa"/>
            <w:vAlign w:val="center"/>
          </w:tcPr>
          <w:p w14:paraId="523AF7F0">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highlight w:val="none"/>
              </w:rPr>
              <w:t>质量要求</w:t>
            </w:r>
          </w:p>
        </w:tc>
        <w:tc>
          <w:tcPr>
            <w:tcW w:w="2418" w:type="dxa"/>
            <w:vAlign w:val="center"/>
          </w:tcPr>
          <w:p w14:paraId="3B46A3B4">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1020" w:type="dxa"/>
            <w:vAlign w:val="center"/>
          </w:tcPr>
          <w:p w14:paraId="2003115A">
            <w:pPr>
              <w:adjustRightInd w:val="0"/>
              <w:snapToGrid w:val="0"/>
              <w:spacing w:line="360" w:lineRule="auto"/>
              <w:ind w:right="-10"/>
              <w:rPr>
                <w:rFonts w:hint="eastAsia" w:ascii="宋体" w:hAnsi="宋体" w:cs="宋体"/>
                <w:color w:val="auto"/>
                <w:sz w:val="24"/>
                <w:highlight w:val="none"/>
              </w:rPr>
            </w:pPr>
          </w:p>
        </w:tc>
        <w:tc>
          <w:tcPr>
            <w:tcW w:w="2327" w:type="dxa"/>
            <w:vAlign w:val="center"/>
          </w:tcPr>
          <w:p w14:paraId="30BD5ED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533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vAlign w:val="center"/>
          </w:tcPr>
          <w:p w14:paraId="422D4A04">
            <w:pPr>
              <w:pStyle w:val="2"/>
              <w:ind w:firstLine="210"/>
              <w:rPr>
                <w:color w:val="auto"/>
                <w:highlight w:val="none"/>
              </w:rPr>
            </w:pPr>
            <w:r>
              <w:rPr>
                <w:rFonts w:hint="eastAsia"/>
                <w:color w:val="auto"/>
                <w:highlight w:val="none"/>
              </w:rPr>
              <w:t>10</w:t>
            </w:r>
          </w:p>
        </w:tc>
        <w:tc>
          <w:tcPr>
            <w:tcW w:w="1887" w:type="dxa"/>
            <w:vAlign w:val="center"/>
          </w:tcPr>
          <w:p w14:paraId="5E7D51FE">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highlight w:val="none"/>
              </w:rPr>
              <w:t>投标有效期</w:t>
            </w:r>
          </w:p>
        </w:tc>
        <w:tc>
          <w:tcPr>
            <w:tcW w:w="2418" w:type="dxa"/>
            <w:vAlign w:val="center"/>
          </w:tcPr>
          <w:p w14:paraId="08BF759D">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1020" w:type="dxa"/>
            <w:vAlign w:val="center"/>
          </w:tcPr>
          <w:p w14:paraId="340FB093">
            <w:pPr>
              <w:adjustRightInd w:val="0"/>
              <w:snapToGrid w:val="0"/>
              <w:spacing w:line="360" w:lineRule="auto"/>
              <w:ind w:right="-10"/>
              <w:rPr>
                <w:rFonts w:hint="eastAsia" w:ascii="宋体" w:hAnsi="宋体" w:cs="宋体"/>
                <w:color w:val="auto"/>
                <w:sz w:val="24"/>
                <w:highlight w:val="none"/>
              </w:rPr>
            </w:pPr>
          </w:p>
        </w:tc>
        <w:tc>
          <w:tcPr>
            <w:tcW w:w="2327" w:type="dxa"/>
            <w:vAlign w:val="center"/>
          </w:tcPr>
          <w:p w14:paraId="58F5B52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E027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vAlign w:val="center"/>
          </w:tcPr>
          <w:p w14:paraId="746D7F8D">
            <w:pPr>
              <w:pStyle w:val="2"/>
              <w:ind w:firstLine="210"/>
              <w:rPr>
                <w:color w:val="auto"/>
                <w:highlight w:val="none"/>
              </w:rPr>
            </w:pPr>
            <w:r>
              <w:rPr>
                <w:rFonts w:hint="eastAsia"/>
                <w:color w:val="auto"/>
                <w:highlight w:val="none"/>
              </w:rPr>
              <w:t>11</w:t>
            </w:r>
          </w:p>
        </w:tc>
        <w:tc>
          <w:tcPr>
            <w:tcW w:w="1887" w:type="dxa"/>
            <w:vAlign w:val="center"/>
          </w:tcPr>
          <w:p w14:paraId="27C345C7">
            <w:pPr>
              <w:widowControl/>
              <w:adjustRightInd w:val="0"/>
              <w:snapToGrid w:val="0"/>
              <w:spacing w:line="400" w:lineRule="exact"/>
              <w:jc w:val="center"/>
              <w:rPr>
                <w:rFonts w:ascii="宋体" w:cs="宋体"/>
                <w:color w:val="auto"/>
                <w:sz w:val="24"/>
                <w:highlight w:val="none"/>
              </w:rPr>
            </w:pPr>
            <w:r>
              <w:rPr>
                <w:rFonts w:hint="eastAsia"/>
                <w:color w:val="auto"/>
                <w:sz w:val="24"/>
                <w:highlight w:val="none"/>
              </w:rPr>
              <w:t>投标文件制作机器码</w:t>
            </w:r>
          </w:p>
        </w:tc>
        <w:tc>
          <w:tcPr>
            <w:tcW w:w="2418" w:type="dxa"/>
            <w:vAlign w:val="center"/>
          </w:tcPr>
          <w:p w14:paraId="09589905">
            <w:pPr>
              <w:widowControl/>
              <w:adjustRightInd w:val="0"/>
              <w:snapToGrid w:val="0"/>
              <w:spacing w:line="400" w:lineRule="exact"/>
              <w:jc w:val="center"/>
              <w:rPr>
                <w:rFonts w:ascii="宋体" w:cs="宋体"/>
                <w:color w:val="auto"/>
                <w:sz w:val="24"/>
                <w:highlight w:val="none"/>
              </w:rPr>
            </w:pPr>
            <w:r>
              <w:rPr>
                <w:rFonts w:hint="eastAsia"/>
                <w:color w:val="auto"/>
                <w:sz w:val="24"/>
                <w:highlight w:val="none"/>
              </w:rPr>
              <w:t>投标文件制作机器码一致的视为无效投标</w:t>
            </w:r>
          </w:p>
        </w:tc>
        <w:tc>
          <w:tcPr>
            <w:tcW w:w="1020" w:type="dxa"/>
            <w:vAlign w:val="center"/>
          </w:tcPr>
          <w:p w14:paraId="26F3115C">
            <w:pPr>
              <w:adjustRightInd w:val="0"/>
              <w:snapToGrid w:val="0"/>
              <w:spacing w:line="360" w:lineRule="auto"/>
              <w:ind w:right="-10"/>
              <w:rPr>
                <w:rFonts w:hint="eastAsia" w:ascii="宋体" w:hAnsi="宋体" w:cs="宋体"/>
                <w:color w:val="auto"/>
                <w:sz w:val="24"/>
                <w:highlight w:val="none"/>
              </w:rPr>
            </w:pPr>
          </w:p>
        </w:tc>
        <w:tc>
          <w:tcPr>
            <w:tcW w:w="2327" w:type="dxa"/>
            <w:vAlign w:val="center"/>
          </w:tcPr>
          <w:p w14:paraId="55EDC74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6DDE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vAlign w:val="center"/>
          </w:tcPr>
          <w:p w14:paraId="6049E599">
            <w:pPr>
              <w:pStyle w:val="2"/>
              <w:ind w:firstLine="0" w:firstLineChars="0"/>
              <w:rPr>
                <w:color w:val="auto"/>
                <w:highlight w:val="none"/>
              </w:rPr>
            </w:pPr>
            <w:r>
              <w:rPr>
                <w:rFonts w:hint="eastAsia"/>
                <w:color w:val="auto"/>
                <w:highlight w:val="none"/>
              </w:rPr>
              <w:t>14</w:t>
            </w:r>
          </w:p>
        </w:tc>
        <w:tc>
          <w:tcPr>
            <w:tcW w:w="1887" w:type="dxa"/>
            <w:vAlign w:val="center"/>
          </w:tcPr>
          <w:p w14:paraId="0DFA0C95">
            <w:pPr>
              <w:widowControl/>
              <w:adjustRightInd w:val="0"/>
              <w:snapToGrid w:val="0"/>
              <w:spacing w:line="400" w:lineRule="exact"/>
              <w:jc w:val="center"/>
              <w:rPr>
                <w:color w:val="auto"/>
                <w:sz w:val="24"/>
                <w:highlight w:val="none"/>
              </w:rPr>
            </w:pPr>
            <w:r>
              <w:rPr>
                <w:rFonts w:hint="eastAsia"/>
                <w:color w:val="auto"/>
                <w:sz w:val="24"/>
                <w:highlight w:val="none"/>
              </w:rPr>
              <w:t>其他</w:t>
            </w:r>
          </w:p>
        </w:tc>
        <w:tc>
          <w:tcPr>
            <w:tcW w:w="2418" w:type="dxa"/>
            <w:vAlign w:val="center"/>
          </w:tcPr>
          <w:p w14:paraId="4CC1561E">
            <w:pPr>
              <w:widowControl/>
              <w:adjustRightInd w:val="0"/>
              <w:snapToGrid w:val="0"/>
              <w:spacing w:line="400" w:lineRule="exact"/>
              <w:jc w:val="center"/>
              <w:rPr>
                <w:color w:val="auto"/>
                <w:sz w:val="24"/>
                <w:highlight w:val="none"/>
              </w:rPr>
            </w:pPr>
            <w:r>
              <w:rPr>
                <w:rFonts w:hint="eastAsia"/>
                <w:color w:val="auto"/>
                <w:sz w:val="24"/>
                <w:highlight w:val="none"/>
              </w:rPr>
              <w:t>响应招标文件规定的其他实质性内容</w:t>
            </w:r>
          </w:p>
        </w:tc>
        <w:tc>
          <w:tcPr>
            <w:tcW w:w="1020" w:type="dxa"/>
            <w:vAlign w:val="center"/>
          </w:tcPr>
          <w:p w14:paraId="30119A43">
            <w:pPr>
              <w:adjustRightInd w:val="0"/>
              <w:snapToGrid w:val="0"/>
              <w:spacing w:line="360" w:lineRule="auto"/>
              <w:ind w:right="-10"/>
              <w:rPr>
                <w:rFonts w:hint="eastAsia" w:ascii="宋体" w:hAnsi="宋体" w:cs="宋体"/>
                <w:color w:val="auto"/>
                <w:sz w:val="24"/>
                <w:highlight w:val="none"/>
              </w:rPr>
            </w:pPr>
          </w:p>
        </w:tc>
        <w:tc>
          <w:tcPr>
            <w:tcW w:w="2327" w:type="dxa"/>
            <w:vAlign w:val="center"/>
          </w:tcPr>
          <w:p w14:paraId="2E57BC4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bl>
    <w:p w14:paraId="39128ED3">
      <w:pPr>
        <w:pStyle w:val="30"/>
        <w:ind w:firstLine="480" w:firstLineChars="200"/>
        <w:rPr>
          <w:rFonts w:hint="eastAsia" w:ascii="宋体" w:hAnsi="宋体" w:cs="宋体"/>
          <w:color w:val="auto"/>
          <w:sz w:val="24"/>
          <w:szCs w:val="20"/>
          <w:highlight w:val="none"/>
        </w:rPr>
      </w:pPr>
    </w:p>
    <w:p w14:paraId="17FDF46B">
      <w:pPr>
        <w:pStyle w:val="30"/>
        <w:rPr>
          <w:rFonts w:hint="eastAsia" w:ascii="宋体" w:hAnsi="宋体" w:cs="宋体"/>
          <w:color w:val="auto"/>
          <w:highlight w:val="none"/>
        </w:rPr>
      </w:pPr>
    </w:p>
    <w:p w14:paraId="04967674">
      <w:pPr>
        <w:spacing w:line="360" w:lineRule="auto"/>
        <w:ind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评分标准（满分为100分）</w:t>
      </w:r>
      <w:r>
        <w:rPr>
          <w:rFonts w:hint="eastAsia" w:ascii="宋体" w:hAnsi="宋体" w:cs="宋体"/>
          <w:color w:val="auto"/>
          <w:sz w:val="24"/>
          <w:highlight w:val="none"/>
        </w:rPr>
        <w:t>说明:各投标人的最终得分为各评委得分的算术平均值；评分分值计算保留小数点后两位，小数点后第三位“四舍五入”。</w:t>
      </w:r>
    </w:p>
    <w:p w14:paraId="1B4B01DB">
      <w:pPr>
        <w:pStyle w:val="78"/>
        <w:spacing w:before="0" w:after="0" w:line="240" w:lineRule="auto"/>
        <w:contextualSpacing/>
        <w:jc w:val="center"/>
        <w:rPr>
          <w:rFonts w:hint="eastAsia" w:ascii="宋体" w:hAnsi="宋体" w:eastAsia="宋体" w:cs="宋体"/>
          <w:b/>
          <w:bCs/>
          <w:color w:val="auto"/>
          <w:sz w:val="32"/>
          <w:szCs w:val="32"/>
          <w:highlight w:val="none"/>
        </w:rPr>
      </w:pPr>
      <w:r>
        <w:rPr>
          <w:rFonts w:hint="eastAsia" w:cs="宋体"/>
          <w:color w:val="auto"/>
          <w:sz w:val="32"/>
          <w:szCs w:val="32"/>
          <w:highlight w:val="none"/>
        </w:rPr>
        <w:br w:type="page"/>
      </w:r>
      <w:r>
        <w:rPr>
          <w:rFonts w:hint="eastAsia" w:ascii="宋体" w:hAnsi="宋体" w:eastAsia="宋体" w:cs="宋体"/>
          <w:b/>
          <w:bCs/>
          <w:color w:val="auto"/>
          <w:sz w:val="32"/>
          <w:szCs w:val="32"/>
          <w:highlight w:val="none"/>
        </w:rPr>
        <w:t>评标办法</w:t>
      </w:r>
      <w:bookmarkEnd w:id="71"/>
    </w:p>
    <w:tbl>
      <w:tblPr>
        <w:tblStyle w:val="35"/>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766"/>
        <w:gridCol w:w="5521"/>
      </w:tblGrid>
      <w:tr w14:paraId="40DB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vAlign w:val="center"/>
          </w:tcPr>
          <w:p w14:paraId="2792ED80">
            <w:pPr>
              <w:tabs>
                <w:tab w:val="left" w:pos="5130"/>
              </w:tabs>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投标报价评分标准</w:t>
            </w:r>
          </w:p>
          <w:p w14:paraId="4AAE1127">
            <w:pPr>
              <w:tabs>
                <w:tab w:val="left" w:pos="5130"/>
              </w:tabs>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（10分）</w:t>
            </w:r>
          </w:p>
          <w:p w14:paraId="12D4F437">
            <w:pPr>
              <w:tabs>
                <w:tab w:val="left" w:pos="5130"/>
              </w:tabs>
              <w:adjustRightInd w:val="0"/>
              <w:snapToGrid w:val="0"/>
              <w:spacing w:line="360" w:lineRule="auto"/>
              <w:rPr>
                <w:rFonts w:hint="eastAsia" w:ascii="宋体" w:hAnsi="宋体" w:cs="宋体"/>
                <w:color w:val="auto"/>
                <w:sz w:val="22"/>
                <w:szCs w:val="22"/>
                <w:highlight w:val="none"/>
              </w:rPr>
            </w:pPr>
          </w:p>
        </w:tc>
        <w:tc>
          <w:tcPr>
            <w:tcW w:w="1766" w:type="dxa"/>
            <w:vAlign w:val="center"/>
          </w:tcPr>
          <w:p w14:paraId="0EA99CCD">
            <w:pPr>
              <w:tabs>
                <w:tab w:val="left" w:pos="5130"/>
              </w:tabs>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投标报价（10分）</w:t>
            </w:r>
          </w:p>
        </w:tc>
        <w:tc>
          <w:tcPr>
            <w:tcW w:w="5521" w:type="dxa"/>
            <w:vAlign w:val="center"/>
          </w:tcPr>
          <w:p w14:paraId="1BF12E81">
            <w:pPr>
              <w:tabs>
                <w:tab w:val="left" w:pos="5130"/>
              </w:tabs>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价格分应当采用低价优先法计算，即满足招标文件要求且投标价格最低的投标报价为评标基准价，其价格分为满分。其他投标人的价格分统一按照下列公式计算：</w:t>
            </w:r>
          </w:p>
          <w:p w14:paraId="0E91D007">
            <w:pPr>
              <w:tabs>
                <w:tab w:val="left" w:pos="5130"/>
              </w:tabs>
              <w:adjustRightInd w:val="0"/>
              <w:snapToGrid w:val="0"/>
              <w:spacing w:line="360" w:lineRule="auto"/>
              <w:rPr>
                <w:rFonts w:hint="eastAsia" w:ascii="宋体" w:hAnsi="宋体" w:cs="宋体"/>
                <w:color w:val="auto"/>
                <w:kern w:val="0"/>
                <w:sz w:val="22"/>
                <w:szCs w:val="22"/>
                <w:highlight w:val="none"/>
              </w:rPr>
            </w:pPr>
            <w:r>
              <w:rPr>
                <w:rFonts w:hint="eastAsia" w:ascii="宋体" w:hAnsi="宋体" w:cs="宋体"/>
                <w:color w:val="auto"/>
                <w:sz w:val="22"/>
                <w:szCs w:val="22"/>
                <w:highlight w:val="none"/>
              </w:rPr>
              <w:t>　　投标报价得分=(评标基准价／投标报价)×10</w:t>
            </w:r>
          </w:p>
          <w:p w14:paraId="0AE642C3">
            <w:pPr>
              <w:tabs>
                <w:tab w:val="left" w:pos="5130"/>
              </w:tabs>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注：价格分计算保留小数点后二位。</w:t>
            </w:r>
          </w:p>
          <w:p w14:paraId="3E9BD861">
            <w:pPr>
              <w:pStyle w:val="79"/>
              <w:ind w:right="-21"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备注：根据财政部、工信部关于印发《政府采购促进中小企业发展管理办法》的通知（财库〔2020〕46号 ）文件规定和财政部《关于进一步加大政府采购支持中小企业力度的通知》（财库〔2022〕19号 ）文件规定：</w:t>
            </w:r>
          </w:p>
          <w:p w14:paraId="7BC8DB26">
            <w:pPr>
              <w:pStyle w:val="79"/>
              <w:ind w:right="-21"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（1）对小微企业报价给予20%扣除，请按照《政府采购促进中小企业发展管理办法》要求提供中小企业声明函。</w:t>
            </w:r>
          </w:p>
          <w:p w14:paraId="638C3FCE">
            <w:pPr>
              <w:pStyle w:val="79"/>
              <w:ind w:right="-21"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（2）关于监狱企业：视同小微企业。须提供由省级以上监狱管理局、戒毒管理局（含新疆生产建设兵团）出具的属于监狱企业的证明文件，否则不考虑价格扣除。</w:t>
            </w:r>
          </w:p>
          <w:p w14:paraId="1678BD8C">
            <w:pPr>
              <w:pStyle w:val="79"/>
              <w:ind w:right="-21"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（3）关于残疾人福利性单位：视同小微企业。须提供完整的“残疾人福利性单位声明函”，否则在价格评审时不予考虑价格扣除。残疾人福利性单位属于小型、微型企业的，不重复享受政策。</w:t>
            </w:r>
          </w:p>
          <w:p w14:paraId="310C5311">
            <w:pPr>
              <w:tabs>
                <w:tab w:val="left" w:pos="5130"/>
              </w:tabs>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（4）没有提供有效证明材料的</w:t>
            </w:r>
            <w:r>
              <w:rPr>
                <w:rFonts w:hint="eastAsia" w:ascii="宋体" w:hAnsi="宋体" w:cs="宋体"/>
                <w:color w:val="auto"/>
                <w:sz w:val="22"/>
                <w:szCs w:val="22"/>
                <w:highlight w:val="none"/>
                <w:lang w:eastAsia="zh-CN"/>
              </w:rPr>
              <w:t>投标人</w:t>
            </w:r>
            <w:r>
              <w:rPr>
                <w:rFonts w:hint="eastAsia" w:ascii="宋体" w:hAnsi="宋体" w:cs="宋体"/>
                <w:color w:val="auto"/>
                <w:sz w:val="22"/>
                <w:szCs w:val="22"/>
                <w:highlight w:val="none"/>
              </w:rPr>
              <w:t>将被视为不接受投标总价的扣除，用原投标总价参与评审。</w:t>
            </w:r>
          </w:p>
        </w:tc>
      </w:tr>
      <w:tr w14:paraId="3E0AE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1503" w:type="dxa"/>
            <w:vMerge w:val="restart"/>
            <w:vAlign w:val="center"/>
          </w:tcPr>
          <w:p w14:paraId="3E7C09A1">
            <w:pPr>
              <w:pStyle w:val="79"/>
              <w:ind w:right="-21" w:firstLine="0" w:firstLineChars="0"/>
              <w:rPr>
                <w:rFonts w:hint="eastAsia" w:ascii="宋体" w:hAnsi="宋体" w:eastAsia="宋体" w:cs="宋体"/>
                <w:color w:val="auto"/>
                <w:sz w:val="22"/>
                <w:szCs w:val="22"/>
                <w:highlight w:val="none"/>
              </w:rPr>
            </w:pPr>
          </w:p>
          <w:p w14:paraId="378A44B9">
            <w:pPr>
              <w:pStyle w:val="79"/>
              <w:ind w:right="-21" w:firstLine="0" w:firstLineChars="0"/>
              <w:rPr>
                <w:rFonts w:hint="eastAsia" w:ascii="宋体" w:hAnsi="宋体" w:eastAsia="宋体" w:cs="宋体"/>
                <w:color w:val="auto"/>
                <w:sz w:val="22"/>
                <w:szCs w:val="22"/>
                <w:highlight w:val="none"/>
              </w:rPr>
            </w:pPr>
          </w:p>
          <w:p w14:paraId="4E7B41E0">
            <w:pPr>
              <w:pStyle w:val="79"/>
              <w:ind w:right="-21" w:firstLine="0" w:firstLineChars="0"/>
              <w:rPr>
                <w:rFonts w:hint="eastAsia" w:ascii="宋体" w:hAnsi="宋体" w:eastAsia="宋体" w:cs="宋体"/>
                <w:color w:val="auto"/>
                <w:sz w:val="22"/>
                <w:szCs w:val="22"/>
                <w:highlight w:val="none"/>
              </w:rPr>
            </w:pPr>
          </w:p>
          <w:p w14:paraId="699B11F4">
            <w:pPr>
              <w:pStyle w:val="79"/>
              <w:ind w:right="-21" w:firstLine="0" w:firstLineChars="0"/>
              <w:rPr>
                <w:rFonts w:hint="eastAsia" w:ascii="宋体" w:hAnsi="宋体" w:eastAsia="宋体" w:cs="宋体"/>
                <w:color w:val="auto"/>
                <w:sz w:val="22"/>
                <w:szCs w:val="22"/>
                <w:highlight w:val="none"/>
              </w:rPr>
            </w:pPr>
          </w:p>
          <w:p w14:paraId="7D0CA6D6">
            <w:pPr>
              <w:pStyle w:val="79"/>
              <w:ind w:right="-21" w:firstLine="0" w:firstLineChars="0"/>
              <w:rPr>
                <w:rFonts w:hint="eastAsia" w:ascii="宋体" w:hAnsi="宋体" w:eastAsia="宋体" w:cs="宋体"/>
                <w:color w:val="auto"/>
                <w:sz w:val="22"/>
                <w:szCs w:val="22"/>
                <w:highlight w:val="none"/>
              </w:rPr>
            </w:pPr>
          </w:p>
          <w:p w14:paraId="696960D7">
            <w:pPr>
              <w:pStyle w:val="79"/>
              <w:ind w:right="-21" w:firstLine="0" w:firstLineChars="0"/>
              <w:rPr>
                <w:rFonts w:hint="eastAsia" w:ascii="宋体" w:hAnsi="宋体" w:eastAsia="宋体" w:cs="宋体"/>
                <w:color w:val="auto"/>
                <w:sz w:val="22"/>
                <w:szCs w:val="22"/>
                <w:highlight w:val="none"/>
              </w:rPr>
            </w:pPr>
          </w:p>
          <w:p w14:paraId="0AB5171D">
            <w:pPr>
              <w:pStyle w:val="79"/>
              <w:ind w:right="-21" w:firstLine="0" w:firstLineChars="0"/>
              <w:rPr>
                <w:rFonts w:hint="eastAsia" w:ascii="宋体" w:hAnsi="宋体" w:eastAsia="宋体" w:cs="宋体"/>
                <w:color w:val="auto"/>
                <w:sz w:val="22"/>
                <w:szCs w:val="22"/>
                <w:highlight w:val="none"/>
              </w:rPr>
            </w:pPr>
          </w:p>
          <w:p w14:paraId="60446270">
            <w:pPr>
              <w:pStyle w:val="79"/>
              <w:ind w:right="-21" w:firstLine="0" w:firstLineChars="0"/>
              <w:rPr>
                <w:rFonts w:hint="eastAsia" w:ascii="宋体" w:hAnsi="宋体" w:eastAsia="宋体" w:cs="宋体"/>
                <w:color w:val="auto"/>
                <w:sz w:val="22"/>
                <w:szCs w:val="22"/>
                <w:highlight w:val="none"/>
              </w:rPr>
            </w:pPr>
          </w:p>
          <w:p w14:paraId="3A8157A7">
            <w:pPr>
              <w:pStyle w:val="79"/>
              <w:ind w:right="-21" w:firstLine="0" w:firstLineChars="0"/>
              <w:rPr>
                <w:rFonts w:hint="eastAsia" w:ascii="宋体" w:hAnsi="宋体" w:eastAsia="宋体" w:cs="宋体"/>
                <w:color w:val="auto"/>
                <w:sz w:val="22"/>
                <w:szCs w:val="22"/>
                <w:highlight w:val="none"/>
              </w:rPr>
            </w:pPr>
          </w:p>
          <w:p w14:paraId="0F0C69E7">
            <w:pPr>
              <w:pStyle w:val="79"/>
              <w:ind w:right="-21"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技术部分</w:t>
            </w:r>
          </w:p>
          <w:p w14:paraId="6A477A4A">
            <w:pPr>
              <w:pStyle w:val="79"/>
              <w:ind w:right="-21"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(50分）</w:t>
            </w:r>
          </w:p>
          <w:p w14:paraId="532B4BA3">
            <w:pPr>
              <w:pStyle w:val="79"/>
              <w:ind w:right="-21" w:firstLine="0" w:firstLineChars="0"/>
              <w:rPr>
                <w:rFonts w:hint="eastAsia" w:ascii="宋体" w:hAnsi="宋体" w:eastAsia="宋体" w:cs="宋体"/>
                <w:color w:val="auto"/>
                <w:sz w:val="22"/>
                <w:szCs w:val="22"/>
                <w:highlight w:val="none"/>
              </w:rPr>
            </w:pPr>
          </w:p>
          <w:p w14:paraId="3F01957D">
            <w:pPr>
              <w:pStyle w:val="80"/>
              <w:rPr>
                <w:rFonts w:hint="eastAsia" w:ascii="宋体" w:hAnsi="宋体" w:eastAsia="宋体" w:cs="宋体"/>
                <w:color w:val="auto"/>
                <w:sz w:val="22"/>
                <w:szCs w:val="22"/>
                <w:highlight w:val="none"/>
              </w:rPr>
            </w:pPr>
          </w:p>
        </w:tc>
        <w:tc>
          <w:tcPr>
            <w:tcW w:w="1766" w:type="dxa"/>
            <w:vAlign w:val="center"/>
          </w:tcPr>
          <w:p w14:paraId="3AD0BE1E">
            <w:pPr>
              <w:pStyle w:val="75"/>
              <w:spacing w:line="240" w:lineRule="auto"/>
              <w:ind w:firstLine="0"/>
              <w:jc w:val="center"/>
              <w:rPr>
                <w:rFonts w:hint="eastAsia" w:ascii="宋体" w:hAnsi="宋体" w:cs="宋体"/>
                <w:color w:val="auto"/>
                <w:sz w:val="22"/>
                <w:szCs w:val="22"/>
                <w:highlight w:val="none"/>
              </w:rPr>
            </w:pPr>
            <w:r>
              <w:rPr>
                <w:rFonts w:hint="eastAsia" w:ascii="宋体" w:hAnsi="宋体" w:cs="宋体"/>
                <w:color w:val="auto"/>
                <w:sz w:val="22"/>
                <w:szCs w:val="22"/>
                <w:highlight w:val="none"/>
              </w:rPr>
              <w:t>技术参数</w:t>
            </w:r>
          </w:p>
          <w:p w14:paraId="751A5957">
            <w:pPr>
              <w:pStyle w:val="79"/>
              <w:spacing w:after="0" w:line="240" w:lineRule="auto"/>
              <w:ind w:right="0" w:rightChars="0" w:firstLine="0" w:firstLineChars="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（26分）</w:t>
            </w:r>
          </w:p>
        </w:tc>
        <w:tc>
          <w:tcPr>
            <w:tcW w:w="5521" w:type="dxa"/>
            <w:vAlign w:val="center"/>
          </w:tcPr>
          <w:p w14:paraId="0EE253A6">
            <w:pPr>
              <w:pStyle w:val="116"/>
              <w:snapToGrid w:val="0"/>
              <w:spacing w:after="0" w:line="240" w:lineRule="auto"/>
              <w:ind w:left="0"/>
              <w:textAlignment w:val="baseline"/>
              <w:rPr>
                <w:rFonts w:hint="eastAsia" w:ascii="宋体" w:hAnsi="宋体" w:cs="宋体"/>
                <w:color w:val="auto"/>
                <w:kern w:val="0"/>
                <w:highlight w:val="none"/>
              </w:rPr>
            </w:pPr>
            <w:r>
              <w:rPr>
                <w:rFonts w:hint="eastAsia" w:ascii="宋体" w:hAnsi="宋体" w:cs="宋体"/>
                <w:color w:val="auto"/>
                <w:kern w:val="0"/>
                <w:highlight w:val="none"/>
              </w:rPr>
              <w:t>1.投标人投标文件中服务和</w:t>
            </w:r>
            <w:r>
              <w:rPr>
                <w:rFonts w:hint="eastAsia" w:ascii="宋体" w:hAnsi="宋体" w:cs="宋体"/>
                <w:color w:val="auto"/>
                <w:highlight w:val="none"/>
              </w:rPr>
              <w:t>投标产品技术参数完全满足或高于招标文件要求的</w:t>
            </w:r>
            <w:r>
              <w:rPr>
                <w:rFonts w:hint="eastAsia" w:ascii="宋体" w:hAnsi="宋体" w:cs="宋体"/>
                <w:color w:val="auto"/>
                <w:kern w:val="0"/>
                <w:highlight w:val="none"/>
              </w:rPr>
              <w:t>得满分26分。</w:t>
            </w:r>
          </w:p>
          <w:p w14:paraId="1BAFB04B">
            <w:pPr>
              <w:pStyle w:val="116"/>
              <w:snapToGrid w:val="0"/>
              <w:spacing w:after="0" w:line="240" w:lineRule="auto"/>
              <w:ind w:left="0"/>
              <w:textAlignment w:val="baseline"/>
              <w:rPr>
                <w:rFonts w:hint="eastAsia" w:ascii="宋体" w:hAnsi="宋体" w:cs="宋体"/>
                <w:color w:val="auto"/>
                <w:highlight w:val="none"/>
              </w:rPr>
            </w:pPr>
            <w:r>
              <w:rPr>
                <w:rFonts w:hint="eastAsia" w:ascii="宋体" w:hAnsi="宋体" w:cs="宋体"/>
                <w:color w:val="auto"/>
                <w:kern w:val="0"/>
                <w:highlight w:val="none"/>
              </w:rPr>
              <w:t>2.参数每有一项不满足的扣2分，扣完为止。</w:t>
            </w:r>
          </w:p>
        </w:tc>
      </w:tr>
      <w:tr w14:paraId="303A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4" w:hRule="atLeast"/>
          <w:jc w:val="center"/>
        </w:trPr>
        <w:tc>
          <w:tcPr>
            <w:tcW w:w="1503" w:type="dxa"/>
            <w:vMerge w:val="continue"/>
            <w:vAlign w:val="center"/>
          </w:tcPr>
          <w:p w14:paraId="4469F336">
            <w:pPr>
              <w:pStyle w:val="80"/>
              <w:rPr>
                <w:rFonts w:hint="eastAsia" w:ascii="宋体" w:hAnsi="宋体" w:eastAsia="宋体" w:cs="宋体"/>
                <w:color w:val="auto"/>
                <w:sz w:val="22"/>
                <w:szCs w:val="22"/>
                <w:highlight w:val="none"/>
              </w:rPr>
            </w:pPr>
          </w:p>
        </w:tc>
        <w:tc>
          <w:tcPr>
            <w:tcW w:w="1766" w:type="dxa"/>
            <w:vAlign w:val="center"/>
          </w:tcPr>
          <w:p w14:paraId="2FA4451F">
            <w:pPr>
              <w:pStyle w:val="79"/>
              <w:spacing w:after="0" w:line="240" w:lineRule="auto"/>
              <w:ind w:right="0" w:rightChars="0" w:firstLine="0" w:firstLineChars="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总体服务方案（12分）</w:t>
            </w:r>
          </w:p>
        </w:tc>
        <w:tc>
          <w:tcPr>
            <w:tcW w:w="5521" w:type="dxa"/>
            <w:vAlign w:val="center"/>
          </w:tcPr>
          <w:p w14:paraId="4BFC7C52">
            <w:pPr>
              <w:pStyle w:val="116"/>
              <w:snapToGrid w:val="0"/>
              <w:spacing w:after="0" w:line="240" w:lineRule="auto"/>
              <w:ind w:left="0"/>
              <w:textAlignment w:val="baseline"/>
              <w:rPr>
                <w:rFonts w:hint="eastAsia" w:ascii="宋体" w:hAnsi="宋体" w:cs="宋体"/>
                <w:b/>
                <w:bCs/>
                <w:color w:val="auto"/>
                <w:highlight w:val="none"/>
              </w:rPr>
            </w:pPr>
            <w:r>
              <w:rPr>
                <w:rFonts w:hint="eastAsia" w:ascii="宋体" w:hAnsi="宋体" w:eastAsia="宋体" w:cs="宋体"/>
                <w:color w:val="auto"/>
                <w:sz w:val="22"/>
                <w:szCs w:val="22"/>
                <w:highlight w:val="none"/>
              </w:rPr>
              <w:t>投标人依据招标文件要求编制</w:t>
            </w:r>
            <w:r>
              <w:rPr>
                <w:rFonts w:hint="eastAsia" w:ascii="宋体" w:hAnsi="宋体" w:eastAsia="宋体" w:cs="宋体"/>
                <w:color w:val="auto"/>
                <w:sz w:val="22"/>
                <w:szCs w:val="22"/>
                <w:highlight w:val="none"/>
                <w:lang w:val="en-US" w:eastAsia="zh-CN"/>
              </w:rPr>
              <w:t>服务质量保证和</w:t>
            </w:r>
            <w:r>
              <w:rPr>
                <w:rFonts w:hint="eastAsia" w:ascii="宋体" w:hAnsi="宋体" w:eastAsia="宋体" w:cs="宋体"/>
                <w:color w:val="auto"/>
                <w:sz w:val="22"/>
                <w:szCs w:val="22"/>
                <w:highlight w:val="none"/>
              </w:rPr>
              <w:t>方案</w:t>
            </w:r>
            <w:r>
              <w:rPr>
                <w:rFonts w:hint="eastAsia" w:ascii="宋体" w:hAnsi="宋体" w:eastAsia="宋体" w:cs="宋体"/>
                <w:color w:val="auto"/>
                <w:kern w:val="0"/>
                <w:sz w:val="22"/>
                <w:szCs w:val="22"/>
                <w:highlight w:val="none"/>
                <w:lang w:eastAsia="zh-CN"/>
              </w:rPr>
              <w:t>；</w:t>
            </w:r>
            <w:r>
              <w:rPr>
                <w:rFonts w:hint="eastAsia" w:ascii="宋体" w:hAnsi="宋体" w:eastAsia="宋体" w:cs="宋体"/>
                <w:color w:val="auto"/>
                <w:kern w:val="0"/>
                <w:sz w:val="22"/>
                <w:szCs w:val="22"/>
                <w:highlight w:val="none"/>
              </w:rPr>
              <w:t>包括但不限于项目理解与需求分析、总体技术方案、实施与交付方案、运维保障服务、智慧化与扩展性设计、可持续性保障</w:t>
            </w:r>
            <w:r>
              <w:rPr>
                <w:rFonts w:hint="eastAsia" w:ascii="宋体" w:hAnsi="宋体" w:eastAsia="宋体" w:cs="宋体"/>
                <w:color w:val="auto"/>
                <w:sz w:val="22"/>
                <w:szCs w:val="22"/>
                <w:highlight w:val="none"/>
              </w:rPr>
              <w:t>方案等</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1</w:t>
            </w: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eastAsia="宋体" w:cs="宋体"/>
                <w:color w:val="auto"/>
                <w:sz w:val="22"/>
                <w:szCs w:val="22"/>
                <w:highlight w:val="none"/>
                <w:lang w:val="en-US" w:eastAsia="zh-CN"/>
              </w:rPr>
              <w:t>缺项或</w:t>
            </w:r>
            <w:r>
              <w:rPr>
                <w:rFonts w:hint="eastAsia" w:ascii="宋体" w:hAnsi="宋体" w:cs="宋体"/>
                <w:color w:val="auto"/>
                <w:sz w:val="22"/>
                <w:szCs w:val="22"/>
                <w:highlight w:val="none"/>
                <w:lang w:val="en-US" w:eastAsia="zh-CN"/>
              </w:rPr>
              <w:t>不</w:t>
            </w:r>
            <w:r>
              <w:rPr>
                <w:rFonts w:hint="eastAsia" w:ascii="宋体" w:hAnsi="宋体" w:eastAsia="宋体" w:cs="宋体"/>
                <w:color w:val="auto"/>
                <w:sz w:val="22"/>
                <w:szCs w:val="22"/>
                <w:highlight w:val="none"/>
              </w:rPr>
              <w:t>提供不得分。</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方案</w:t>
            </w:r>
            <w:r>
              <w:rPr>
                <w:rFonts w:hint="eastAsia" w:ascii="宋体" w:hAnsi="宋体" w:eastAsia="宋体" w:cs="宋体"/>
                <w:color w:val="auto"/>
                <w:kern w:val="0"/>
                <w:sz w:val="22"/>
                <w:szCs w:val="22"/>
                <w:highlight w:val="none"/>
              </w:rPr>
              <w:t>涵盖从规划改造设计到三年运维的全生命周期</w:t>
            </w:r>
            <w:r>
              <w:rPr>
                <w:rFonts w:hint="eastAsia" w:ascii="宋体" w:hAnsi="宋体" w:eastAsia="宋体" w:cs="宋体"/>
                <w:color w:val="auto"/>
                <w:sz w:val="22"/>
                <w:szCs w:val="22"/>
                <w:highlight w:val="none"/>
                <w:lang w:eastAsia="zh-CN"/>
              </w:rPr>
              <w:t>）</w:t>
            </w:r>
          </w:p>
          <w:p w14:paraId="1177D514">
            <w:pPr>
              <w:pStyle w:val="116"/>
              <w:snapToGrid w:val="0"/>
              <w:spacing w:after="0" w:line="240" w:lineRule="auto"/>
              <w:ind w:left="0"/>
              <w:textAlignment w:val="baseline"/>
              <w:rPr>
                <w:rFonts w:hint="eastAsia" w:ascii="宋体" w:hAnsi="宋体" w:cs="宋体"/>
                <w:b/>
                <w:bCs/>
                <w:color w:val="auto"/>
                <w:highlight w:val="none"/>
              </w:rPr>
            </w:pPr>
          </w:p>
        </w:tc>
      </w:tr>
      <w:tr w14:paraId="74AE1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1503" w:type="dxa"/>
            <w:vMerge w:val="continue"/>
            <w:vAlign w:val="center"/>
          </w:tcPr>
          <w:p w14:paraId="424DB027">
            <w:pPr>
              <w:pStyle w:val="80"/>
              <w:rPr>
                <w:rFonts w:hint="eastAsia" w:ascii="宋体" w:hAnsi="宋体" w:eastAsia="宋体" w:cs="宋体"/>
                <w:color w:val="auto"/>
                <w:sz w:val="22"/>
                <w:szCs w:val="22"/>
                <w:highlight w:val="none"/>
              </w:rPr>
            </w:pPr>
          </w:p>
        </w:tc>
        <w:tc>
          <w:tcPr>
            <w:tcW w:w="1766" w:type="dxa"/>
            <w:vAlign w:val="center"/>
          </w:tcPr>
          <w:p w14:paraId="396BA694">
            <w:pPr>
              <w:pStyle w:val="79"/>
              <w:spacing w:after="0" w:line="240" w:lineRule="auto"/>
              <w:ind w:right="0" w:rightChars="0" w:firstLine="0" w:firstLineChars="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项目保障措施</w:t>
            </w:r>
          </w:p>
          <w:p w14:paraId="71E25082">
            <w:pPr>
              <w:pStyle w:val="79"/>
              <w:spacing w:after="0" w:line="240" w:lineRule="auto"/>
              <w:ind w:right="0" w:rightChars="0" w:firstLine="0" w:firstLineChars="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（6分）</w:t>
            </w:r>
          </w:p>
        </w:tc>
        <w:tc>
          <w:tcPr>
            <w:tcW w:w="5521" w:type="dxa"/>
            <w:vAlign w:val="center"/>
          </w:tcPr>
          <w:p w14:paraId="123775C7">
            <w:pPr>
              <w:pStyle w:val="116"/>
              <w:snapToGrid w:val="0"/>
              <w:spacing w:after="0" w:line="240" w:lineRule="auto"/>
              <w:ind w:left="0"/>
              <w:textAlignment w:val="baseline"/>
              <w:rPr>
                <w:rFonts w:hint="eastAsia" w:ascii="宋体" w:hAnsi="宋体" w:cs="宋体"/>
                <w:color w:val="auto"/>
                <w:kern w:val="0"/>
                <w:highlight w:val="none"/>
              </w:rPr>
            </w:pPr>
            <w:r>
              <w:rPr>
                <w:rFonts w:hint="eastAsia" w:ascii="宋体" w:hAnsi="宋体" w:cs="宋体"/>
                <w:color w:val="auto"/>
                <w:highlight w:val="none"/>
              </w:rPr>
              <w:t>投标人提供项目</w:t>
            </w:r>
            <w:r>
              <w:rPr>
                <w:rFonts w:hint="eastAsia" w:ascii="宋体" w:hAnsi="宋体" w:cs="宋体"/>
                <w:color w:val="auto"/>
                <w:kern w:val="0"/>
                <w:highlight w:val="none"/>
              </w:rPr>
              <w:t>保障措施，包括但不限于项目改造进度措施、质量标准及保障措施、质量与风险控制措施、安全保障措施、资源配置措施（包括人员、设备、仪器仪表等）及运维阶段风险管控措施、网络安全保障措施等内容得6分，</w:t>
            </w:r>
            <w:r>
              <w:rPr>
                <w:rFonts w:hint="eastAsia" w:ascii="宋体" w:hAnsi="宋体" w:cs="宋体"/>
                <w:color w:val="auto"/>
                <w:highlight w:val="none"/>
              </w:rPr>
              <w:t>缺少一项扣2分，扣完为止。</w:t>
            </w:r>
          </w:p>
        </w:tc>
      </w:tr>
      <w:tr w14:paraId="664DC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2" w:hRule="atLeast"/>
          <w:jc w:val="center"/>
        </w:trPr>
        <w:tc>
          <w:tcPr>
            <w:tcW w:w="1503" w:type="dxa"/>
            <w:vMerge w:val="continue"/>
            <w:vAlign w:val="center"/>
          </w:tcPr>
          <w:p w14:paraId="54FB7194">
            <w:pPr>
              <w:pStyle w:val="79"/>
              <w:ind w:right="-21" w:firstLine="0" w:firstLineChars="0"/>
              <w:rPr>
                <w:rFonts w:hint="eastAsia" w:ascii="宋体" w:hAnsi="宋体" w:eastAsia="宋体" w:cs="宋体"/>
                <w:color w:val="auto"/>
                <w:sz w:val="22"/>
                <w:szCs w:val="22"/>
                <w:highlight w:val="none"/>
              </w:rPr>
            </w:pPr>
          </w:p>
        </w:tc>
        <w:tc>
          <w:tcPr>
            <w:tcW w:w="1766" w:type="dxa"/>
            <w:vAlign w:val="center"/>
          </w:tcPr>
          <w:p w14:paraId="4D412E14">
            <w:pPr>
              <w:spacing w:line="420" w:lineRule="exact"/>
              <w:jc w:val="center"/>
              <w:rPr>
                <w:rFonts w:hint="eastAsia" w:ascii="宋体" w:hAnsi="宋体" w:cs="宋体"/>
                <w:color w:val="auto"/>
                <w:sz w:val="22"/>
                <w:szCs w:val="22"/>
                <w:highlight w:val="none"/>
              </w:rPr>
            </w:pPr>
            <w:r>
              <w:rPr>
                <w:rFonts w:hint="eastAsia" w:ascii="宋体" w:hAnsi="宋体" w:cs="宋体"/>
                <w:color w:val="auto"/>
                <w:sz w:val="22"/>
                <w:szCs w:val="22"/>
                <w:highlight w:val="none"/>
                <w:lang w:val="zh-CN"/>
              </w:rPr>
              <w:t>突发事件处理方案</w:t>
            </w:r>
            <w:r>
              <w:rPr>
                <w:rFonts w:hint="eastAsia" w:ascii="宋体" w:hAnsi="宋体" w:cs="宋体"/>
                <w:color w:val="auto"/>
                <w:sz w:val="22"/>
                <w:szCs w:val="22"/>
                <w:highlight w:val="none"/>
              </w:rPr>
              <w:t>（6分）</w:t>
            </w:r>
          </w:p>
        </w:tc>
        <w:tc>
          <w:tcPr>
            <w:tcW w:w="5521" w:type="dxa"/>
            <w:vAlign w:val="center"/>
          </w:tcPr>
          <w:p w14:paraId="5891A402">
            <w:pPr>
              <w:pStyle w:val="79"/>
              <w:ind w:right="-21"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投标人保证</w:t>
            </w:r>
            <w:r>
              <w:rPr>
                <w:rFonts w:hint="eastAsia" w:ascii="宋体" w:hAnsi="宋体" w:eastAsia="宋体" w:cs="宋体"/>
                <w:color w:val="auto"/>
                <w:sz w:val="22"/>
                <w:szCs w:val="22"/>
                <w:highlight w:val="none"/>
                <w:lang w:val="zh-CN"/>
              </w:rPr>
              <w:t>针对本项目的突发事件处理方案：</w:t>
            </w:r>
            <w:r>
              <w:rPr>
                <w:rFonts w:hint="eastAsia" w:ascii="宋体" w:hAnsi="宋体" w:eastAsia="宋体" w:cs="宋体"/>
                <w:color w:val="auto"/>
                <w:sz w:val="22"/>
                <w:szCs w:val="22"/>
                <w:highlight w:val="none"/>
              </w:rPr>
              <w:t>方案</w:t>
            </w:r>
            <w:r>
              <w:rPr>
                <w:rFonts w:hint="eastAsia" w:ascii="宋体" w:hAnsi="宋体" w:eastAsia="宋体" w:cs="宋体"/>
                <w:color w:val="auto"/>
                <w:sz w:val="22"/>
                <w:szCs w:val="22"/>
                <w:highlight w:val="none"/>
                <w:lang w:val="zh-CN"/>
              </w:rPr>
              <w:t>分别从预防机制、处置措施、组织管理、情况报告、善后处理等</w:t>
            </w:r>
            <w:r>
              <w:rPr>
                <w:rFonts w:hint="eastAsia" w:ascii="宋体" w:hAnsi="宋体" w:eastAsia="宋体" w:cs="宋体"/>
                <w:color w:val="auto"/>
                <w:sz w:val="22"/>
                <w:szCs w:val="22"/>
                <w:highlight w:val="none"/>
              </w:rPr>
              <w:t>内容进得6分，缺少一项扣2分，扣完为止。</w:t>
            </w:r>
          </w:p>
        </w:tc>
      </w:tr>
      <w:tr w14:paraId="04F5F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jc w:val="center"/>
        </w:trPr>
        <w:tc>
          <w:tcPr>
            <w:tcW w:w="1503" w:type="dxa"/>
            <w:vMerge w:val="restart"/>
            <w:vAlign w:val="center"/>
          </w:tcPr>
          <w:p w14:paraId="51A73F91">
            <w:pPr>
              <w:pStyle w:val="79"/>
              <w:ind w:right="-21" w:firstLine="0" w:firstLineChars="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商务部分</w:t>
            </w:r>
          </w:p>
          <w:p w14:paraId="183E87B4">
            <w:pPr>
              <w:pStyle w:val="79"/>
              <w:ind w:right="-21" w:firstLine="0" w:firstLineChars="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（40分）</w:t>
            </w:r>
          </w:p>
        </w:tc>
        <w:tc>
          <w:tcPr>
            <w:tcW w:w="1766" w:type="dxa"/>
            <w:vAlign w:val="center"/>
          </w:tcPr>
          <w:p w14:paraId="31E8B8B1">
            <w:pPr>
              <w:pStyle w:val="79"/>
              <w:ind w:right="-21" w:firstLine="0" w:firstLineChars="0"/>
              <w:jc w:val="center"/>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信息安全保障</w:t>
            </w:r>
          </w:p>
          <w:p w14:paraId="48022FE6">
            <w:pPr>
              <w:pStyle w:val="79"/>
              <w:ind w:right="-21" w:firstLine="0" w:firstLineChars="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shd w:val="clear" w:color="auto" w:fill="FFFFFF"/>
              </w:rPr>
              <w:t>（4分）</w:t>
            </w:r>
          </w:p>
        </w:tc>
        <w:tc>
          <w:tcPr>
            <w:tcW w:w="5521" w:type="dxa"/>
            <w:vAlign w:val="center"/>
          </w:tcPr>
          <w:p w14:paraId="16F45CFB">
            <w:pPr>
              <w:adjustRightInd w:val="0"/>
              <w:snapToGrid w:val="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1、投标人具有ISO27001信息安全管理体系证书、ISO20000信息技术服务管理体系证书，每提供一项证书得2分，最多得4分。</w:t>
            </w:r>
          </w:p>
          <w:p w14:paraId="379FB52B">
            <w:pPr>
              <w:pStyle w:val="79"/>
              <w:ind w:right="-21" w:firstLine="0" w:firstLineChars="0"/>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注：提供相关证书原件扫描件，不提供不得分。</w:t>
            </w:r>
          </w:p>
        </w:tc>
      </w:tr>
      <w:tr w14:paraId="7F67B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jc w:val="center"/>
        </w:trPr>
        <w:tc>
          <w:tcPr>
            <w:tcW w:w="1503" w:type="dxa"/>
            <w:vMerge w:val="continue"/>
            <w:vAlign w:val="center"/>
          </w:tcPr>
          <w:p w14:paraId="6C1E157F">
            <w:pPr>
              <w:pStyle w:val="79"/>
              <w:ind w:right="-21" w:firstLine="0" w:firstLineChars="0"/>
              <w:jc w:val="center"/>
              <w:rPr>
                <w:rFonts w:hint="eastAsia" w:ascii="宋体" w:hAnsi="宋体" w:eastAsia="宋体" w:cs="宋体"/>
                <w:color w:val="auto"/>
                <w:sz w:val="22"/>
                <w:szCs w:val="22"/>
                <w:highlight w:val="none"/>
              </w:rPr>
            </w:pPr>
          </w:p>
        </w:tc>
        <w:tc>
          <w:tcPr>
            <w:tcW w:w="1766" w:type="dxa"/>
            <w:vAlign w:val="center"/>
          </w:tcPr>
          <w:p w14:paraId="592B9EA0">
            <w:pPr>
              <w:pStyle w:val="79"/>
              <w:ind w:right="-21" w:firstLine="0" w:firstLineChars="0"/>
              <w:jc w:val="center"/>
              <w:rPr>
                <w:rFonts w:hint="eastAsia" w:ascii="宋体" w:hAnsi="宋体" w:eastAsia="宋体" w:cs="宋体"/>
                <w:color w:val="auto"/>
                <w:sz w:val="22"/>
                <w:szCs w:val="22"/>
                <w:highlight w:val="none"/>
                <w:shd w:val="clear" w:color="auto" w:fill="FFFFFF"/>
              </w:rPr>
            </w:pPr>
            <w:r>
              <w:rPr>
                <w:rFonts w:hint="eastAsia" w:ascii="宋体" w:hAnsi="宋体" w:eastAsia="宋体" w:cs="宋体"/>
                <w:bCs/>
                <w:color w:val="auto"/>
                <w:sz w:val="22"/>
                <w:szCs w:val="22"/>
                <w:highlight w:val="none"/>
              </w:rPr>
              <w:t>体系认证(3分）</w:t>
            </w:r>
          </w:p>
        </w:tc>
        <w:tc>
          <w:tcPr>
            <w:tcW w:w="5521" w:type="dxa"/>
            <w:vAlign w:val="center"/>
          </w:tcPr>
          <w:p w14:paraId="797132C5">
            <w:pPr>
              <w:widowControl/>
              <w:adjustRightInd w:val="0"/>
              <w:snapToGrid w:val="0"/>
              <w:rPr>
                <w:rFonts w:hint="eastAsia" w:ascii="宋体" w:hAnsi="宋体" w:cs="宋体"/>
                <w:bCs/>
                <w:color w:val="auto"/>
                <w:sz w:val="22"/>
                <w:szCs w:val="22"/>
                <w:highlight w:val="none"/>
              </w:rPr>
            </w:pPr>
            <w:r>
              <w:rPr>
                <w:rFonts w:hint="eastAsia" w:ascii="宋体" w:hAnsi="宋体" w:cs="宋体"/>
                <w:bCs/>
                <w:color w:val="auto"/>
                <w:sz w:val="22"/>
                <w:szCs w:val="22"/>
                <w:highlight w:val="none"/>
              </w:rPr>
              <w:t>1、投标人通过ISO9001质量管理体系认证、ISO14001环境管理体系认证、ISO45001职业健康安全管理体系认证，提供证书齐全的得3分，缺项不得分。</w:t>
            </w:r>
          </w:p>
          <w:p w14:paraId="06B596D2">
            <w:pPr>
              <w:widowControl/>
              <w:adjustRightInd w:val="0"/>
              <w:snapToGrid w:val="0"/>
              <w:rPr>
                <w:rFonts w:hint="eastAsia" w:ascii="宋体" w:hAnsi="宋体" w:cs="宋体"/>
                <w:bCs/>
                <w:color w:val="auto"/>
                <w:sz w:val="22"/>
                <w:szCs w:val="22"/>
                <w:highlight w:val="none"/>
              </w:rPr>
            </w:pPr>
            <w:r>
              <w:rPr>
                <w:rFonts w:hint="eastAsia" w:ascii="宋体" w:hAnsi="宋体" w:cs="宋体"/>
                <w:b/>
                <w:bCs/>
                <w:color w:val="auto"/>
                <w:sz w:val="22"/>
                <w:szCs w:val="22"/>
                <w:highlight w:val="none"/>
              </w:rPr>
              <w:t>注：提供相关证书原件扫描件，不提供不得分。</w:t>
            </w:r>
          </w:p>
        </w:tc>
      </w:tr>
      <w:tr w14:paraId="18AF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9" w:hRule="atLeast"/>
          <w:jc w:val="center"/>
        </w:trPr>
        <w:tc>
          <w:tcPr>
            <w:tcW w:w="1503" w:type="dxa"/>
            <w:vMerge w:val="continue"/>
            <w:vAlign w:val="center"/>
          </w:tcPr>
          <w:p w14:paraId="48A901B3">
            <w:pPr>
              <w:pStyle w:val="79"/>
              <w:ind w:right="-21" w:firstLine="0" w:firstLineChars="0"/>
              <w:rPr>
                <w:rFonts w:hint="eastAsia" w:ascii="宋体" w:hAnsi="宋体" w:eastAsia="宋体" w:cs="宋体"/>
                <w:color w:val="auto"/>
                <w:sz w:val="22"/>
                <w:szCs w:val="22"/>
                <w:highlight w:val="none"/>
              </w:rPr>
            </w:pPr>
          </w:p>
        </w:tc>
        <w:tc>
          <w:tcPr>
            <w:tcW w:w="1766" w:type="dxa"/>
            <w:vAlign w:val="center"/>
          </w:tcPr>
          <w:p w14:paraId="16B312DC">
            <w:pPr>
              <w:widowControl/>
              <w:ind w:firstLine="220" w:firstLineChars="100"/>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售后服务</w:t>
            </w:r>
          </w:p>
          <w:p w14:paraId="6EE74BCC">
            <w:pPr>
              <w:pStyle w:val="79"/>
              <w:ind w:right="-21" w:firstLine="0" w:firstLineChars="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（15分）</w:t>
            </w:r>
          </w:p>
        </w:tc>
        <w:tc>
          <w:tcPr>
            <w:tcW w:w="5521" w:type="dxa"/>
            <w:vAlign w:val="center"/>
          </w:tcPr>
          <w:p w14:paraId="3A53D50F">
            <w:pPr>
              <w:pStyle w:val="79"/>
              <w:spacing w:after="0" w:line="240" w:lineRule="auto"/>
              <w:ind w:right="0" w:righ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1、投标人升级改造期限承诺:每提前10日历天得1分，最多得3分。不足10日历天不得分，不提供不得分。</w:t>
            </w:r>
          </w:p>
          <w:p w14:paraId="3D217558">
            <w:pPr>
              <w:pStyle w:val="79"/>
              <w:spacing w:after="0" w:line="240" w:lineRule="auto"/>
              <w:ind w:right="0" w:righ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2、投标人承诺售后服务具有常驻现场运维人员2人及以上得4分；1人得2分；不提供不得分。</w:t>
            </w:r>
          </w:p>
          <w:p w14:paraId="479F8317">
            <w:pPr>
              <w:pStyle w:val="79"/>
              <w:spacing w:after="0" w:line="240" w:lineRule="auto"/>
              <w:ind w:right="0" w:righ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3、投标人所投硬、软件产品生产商承诺免费质保期在3年的基础上每增加1年得2分，最多得4分。</w:t>
            </w:r>
          </w:p>
          <w:p w14:paraId="4D74E631">
            <w:pPr>
              <w:pStyle w:val="79"/>
              <w:ind w:right="-21"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4、投标人提供服务期内和服务期外的服务承诺及措施得4分，不提供不得分。</w:t>
            </w:r>
          </w:p>
        </w:tc>
      </w:tr>
      <w:tr w14:paraId="510D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503" w:type="dxa"/>
            <w:vMerge w:val="continue"/>
            <w:vAlign w:val="center"/>
          </w:tcPr>
          <w:p w14:paraId="29A564C3">
            <w:pPr>
              <w:pStyle w:val="79"/>
              <w:ind w:right="-21" w:firstLine="0" w:firstLineChars="0"/>
              <w:rPr>
                <w:rFonts w:hint="eastAsia" w:ascii="宋体" w:hAnsi="宋体" w:eastAsia="宋体" w:cs="宋体"/>
                <w:color w:val="auto"/>
                <w:sz w:val="22"/>
                <w:szCs w:val="22"/>
                <w:highlight w:val="none"/>
              </w:rPr>
            </w:pPr>
          </w:p>
        </w:tc>
        <w:tc>
          <w:tcPr>
            <w:tcW w:w="1766" w:type="dxa"/>
            <w:vAlign w:val="center"/>
          </w:tcPr>
          <w:p w14:paraId="491743B0">
            <w:pPr>
              <w:pStyle w:val="79"/>
              <w:ind w:right="-21" w:firstLine="0" w:firstLineChars="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优惠承诺</w:t>
            </w:r>
          </w:p>
          <w:p w14:paraId="1C8C8F48">
            <w:pPr>
              <w:pStyle w:val="79"/>
              <w:ind w:right="-21" w:firstLine="0" w:firstLineChars="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（5分）</w:t>
            </w:r>
          </w:p>
        </w:tc>
        <w:tc>
          <w:tcPr>
            <w:tcW w:w="5521" w:type="dxa"/>
            <w:vAlign w:val="center"/>
          </w:tcPr>
          <w:p w14:paraId="5761768D">
            <w:pPr>
              <w:pStyle w:val="79"/>
              <w:ind w:right="-21"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投标人能为此次运维项目，在服务范围、内容、标准、周期提供额外优惠承诺，包括但不限于提供相关优惠保障体系、具体优惠措施、响应时间和服务范围等，得5分，不提供不得分。</w:t>
            </w:r>
          </w:p>
        </w:tc>
      </w:tr>
      <w:tr w14:paraId="776BF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503" w:type="dxa"/>
            <w:vMerge w:val="continue"/>
            <w:vAlign w:val="center"/>
          </w:tcPr>
          <w:p w14:paraId="1C16436F">
            <w:pPr>
              <w:pStyle w:val="79"/>
              <w:ind w:right="-21" w:firstLine="0" w:firstLineChars="0"/>
              <w:rPr>
                <w:rFonts w:hint="eastAsia" w:ascii="宋体" w:hAnsi="宋体" w:eastAsia="宋体" w:cs="宋体"/>
                <w:color w:val="auto"/>
                <w:sz w:val="22"/>
                <w:szCs w:val="22"/>
                <w:highlight w:val="none"/>
              </w:rPr>
            </w:pPr>
          </w:p>
        </w:tc>
        <w:tc>
          <w:tcPr>
            <w:tcW w:w="1766" w:type="dxa"/>
            <w:vAlign w:val="center"/>
          </w:tcPr>
          <w:p w14:paraId="1D25BEC9">
            <w:pPr>
              <w:pStyle w:val="79"/>
              <w:ind w:right="-21" w:firstLine="220" w:firstLineChars="1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业绩（8分）</w:t>
            </w:r>
          </w:p>
        </w:tc>
        <w:tc>
          <w:tcPr>
            <w:tcW w:w="5521" w:type="dxa"/>
            <w:vAlign w:val="center"/>
          </w:tcPr>
          <w:p w14:paraId="4C14E71B">
            <w:pPr>
              <w:tabs>
                <w:tab w:val="left" w:pos="5130"/>
              </w:tabs>
              <w:adjustRightInd w:val="0"/>
              <w:snapToGrid w:val="0"/>
              <w:spacing w:line="240" w:lineRule="atLeast"/>
              <w:rPr>
                <w:rFonts w:hint="eastAsia" w:ascii="宋体" w:hAnsi="宋体" w:cs="宋体"/>
                <w:bCs/>
                <w:color w:val="auto"/>
                <w:sz w:val="22"/>
                <w:szCs w:val="22"/>
                <w:highlight w:val="none"/>
              </w:rPr>
            </w:pPr>
            <w:r>
              <w:rPr>
                <w:rFonts w:hint="eastAsia" w:ascii="宋体" w:hAnsi="宋体" w:cs="宋体"/>
                <w:bCs/>
                <w:color w:val="auto"/>
                <w:sz w:val="22"/>
                <w:szCs w:val="22"/>
                <w:highlight w:val="none"/>
              </w:rPr>
              <w:t>投标人提供2022年1月1日至今的类似业绩，每提供一份得4分，最多得8分。</w:t>
            </w:r>
          </w:p>
          <w:p w14:paraId="58F2D897">
            <w:pPr>
              <w:tabs>
                <w:tab w:val="left" w:pos="5130"/>
              </w:tabs>
              <w:adjustRightInd w:val="0"/>
              <w:snapToGrid w:val="0"/>
              <w:spacing w:line="240" w:lineRule="atLeast"/>
              <w:rPr>
                <w:rFonts w:hint="eastAsia" w:ascii="宋体" w:hAnsi="宋体" w:cs="宋体"/>
                <w:color w:val="auto"/>
                <w:sz w:val="22"/>
                <w:szCs w:val="22"/>
                <w:highlight w:val="none"/>
              </w:rPr>
            </w:pPr>
            <w:r>
              <w:rPr>
                <w:rFonts w:hint="eastAsia" w:ascii="宋体" w:hAnsi="宋体" w:cs="宋体"/>
                <w:b/>
                <w:color w:val="auto"/>
                <w:sz w:val="22"/>
                <w:szCs w:val="22"/>
                <w:highlight w:val="none"/>
              </w:rPr>
              <w:t>注：以合同签订日期为准，需提供业绩合同原件的扫描件，不提供不得分。</w:t>
            </w:r>
          </w:p>
        </w:tc>
      </w:tr>
      <w:tr w14:paraId="4D32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8" w:hRule="atLeast"/>
          <w:jc w:val="center"/>
        </w:trPr>
        <w:tc>
          <w:tcPr>
            <w:tcW w:w="1503" w:type="dxa"/>
            <w:vMerge w:val="continue"/>
            <w:vAlign w:val="center"/>
          </w:tcPr>
          <w:p w14:paraId="0386C5A0">
            <w:pPr>
              <w:pStyle w:val="79"/>
              <w:ind w:right="-21" w:firstLine="0" w:firstLineChars="0"/>
              <w:rPr>
                <w:rFonts w:hint="eastAsia" w:ascii="宋体" w:hAnsi="宋体" w:eastAsia="宋体" w:cs="宋体"/>
                <w:color w:val="auto"/>
                <w:sz w:val="22"/>
                <w:szCs w:val="22"/>
                <w:highlight w:val="none"/>
              </w:rPr>
            </w:pPr>
          </w:p>
        </w:tc>
        <w:tc>
          <w:tcPr>
            <w:tcW w:w="1766" w:type="dxa"/>
            <w:vAlign w:val="center"/>
          </w:tcPr>
          <w:p w14:paraId="64583469">
            <w:pPr>
              <w:pStyle w:val="79"/>
              <w:ind w:right="-21"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服务人员(5分）</w:t>
            </w:r>
          </w:p>
        </w:tc>
        <w:tc>
          <w:tcPr>
            <w:tcW w:w="5521" w:type="dxa"/>
            <w:vAlign w:val="center"/>
          </w:tcPr>
          <w:p w14:paraId="26DF7D35">
            <w:pPr>
              <w:pStyle w:val="79"/>
              <w:ind w:right="-21"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投标人服务组成人员具有人力资源和社会保障部与工业和信息化部门颁发的计算机技术与软件专业技术资格证书（中级及以上）的得5分，不提供的不得分。</w:t>
            </w:r>
          </w:p>
          <w:p w14:paraId="66D324A8">
            <w:pPr>
              <w:pStyle w:val="79"/>
              <w:ind w:right="-21" w:firstLine="0" w:firstLineChars="0"/>
              <w:rPr>
                <w:rFonts w:hint="eastAsia" w:ascii="宋体" w:hAnsi="宋体" w:eastAsia="宋体" w:cs="宋体"/>
                <w:bCs/>
                <w:color w:val="auto"/>
                <w:sz w:val="22"/>
                <w:szCs w:val="22"/>
                <w:highlight w:val="none"/>
              </w:rPr>
            </w:pPr>
            <w:r>
              <w:rPr>
                <w:rFonts w:hint="eastAsia" w:ascii="宋体" w:hAnsi="宋体" w:eastAsia="宋体" w:cs="宋体"/>
                <w:b/>
                <w:bCs/>
                <w:color w:val="auto"/>
                <w:sz w:val="22"/>
                <w:szCs w:val="22"/>
                <w:highlight w:val="none"/>
              </w:rPr>
              <w:t>注：提供证书的原件扫描件、人员社保和劳动合同，提供不齐全的不计分。</w:t>
            </w:r>
          </w:p>
        </w:tc>
      </w:tr>
    </w:tbl>
    <w:p w14:paraId="185CF63E">
      <w:pPr>
        <w:pStyle w:val="76"/>
        <w:spacing w:line="360" w:lineRule="auto"/>
        <w:ind w:right="-10" w:firstLine="482" w:firstLineChars="200"/>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注：评标结束后，由采购人对评审结果及投标文件等进行复核，并在法定的时间内确定中标人。</w:t>
      </w:r>
    </w:p>
    <w:p w14:paraId="415F764D">
      <w:pPr>
        <w:adjustRightInd w:val="0"/>
        <w:snapToGrid w:val="0"/>
        <w:spacing w:line="360" w:lineRule="auto"/>
        <w:ind w:right="-1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w:t>
      </w:r>
      <w:r>
        <w:rPr>
          <w:rFonts w:hint="eastAsia" w:ascii="宋体" w:hAnsi="宋体" w:cs="宋体"/>
          <w:bCs/>
          <w:color w:val="auto"/>
          <w:sz w:val="24"/>
          <w:highlight w:val="none"/>
          <w:lang w:val="en-US" w:eastAsia="zh-CN"/>
        </w:rPr>
        <w:t>评</w:t>
      </w:r>
      <w:r>
        <w:rPr>
          <w:rFonts w:hint="eastAsia" w:ascii="宋体" w:hAnsi="宋体" w:cs="宋体"/>
          <w:bCs/>
          <w:color w:val="auto"/>
          <w:sz w:val="24"/>
          <w:highlight w:val="none"/>
        </w:rPr>
        <w:t>审后得分最高的同品牌投标人获得中标人推荐资格；评审得分相同的，按照除价格分外得分最高（商务+技术参数）的同品牌投标人获得中标人推荐资格，其他同品牌投标人不作为中标候选人。</w:t>
      </w:r>
    </w:p>
    <w:p w14:paraId="064A3048">
      <w:pPr>
        <w:adjustRightInd w:val="0"/>
        <w:snapToGrid w:val="0"/>
        <w:spacing w:line="360" w:lineRule="auto"/>
        <w:ind w:right="-1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672AF87F">
      <w:pPr>
        <w:pStyle w:val="76"/>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Cs/>
          <w:color w:val="auto"/>
          <w:sz w:val="24"/>
          <w:highlight w:val="none"/>
        </w:rPr>
        <w:t xml:space="preserve"> 评委独立评审后，评委会对投标人某项指标如有不同意见，按照少数服从多数的原则，确定该项指标是否通过。</w:t>
      </w:r>
    </w:p>
    <w:p w14:paraId="768BFEC5">
      <w:pPr>
        <w:spacing w:line="360" w:lineRule="auto"/>
        <w:ind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第十一条</w:t>
      </w:r>
      <w:r>
        <w:rPr>
          <w:rFonts w:hint="eastAsia" w:ascii="宋体" w:hAnsi="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73B9B536">
      <w:pPr>
        <w:pStyle w:val="76"/>
        <w:spacing w:line="360" w:lineRule="auto"/>
        <w:ind w:right="-10" w:firstLine="482"/>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第十二条</w:t>
      </w:r>
      <w:r>
        <w:rPr>
          <w:rFonts w:hint="eastAsia" w:ascii="宋体" w:hAnsi="宋体" w:eastAsia="宋体" w:cs="宋体"/>
          <w:bCs/>
          <w:color w:val="auto"/>
          <w:sz w:val="24"/>
          <w:highlight w:val="none"/>
        </w:rPr>
        <w:t xml:space="preserve"> 评委会在评标过程中发现的问题，应当及时作出处理或者向采购人提出处理建议，并作书面记录。</w:t>
      </w:r>
    </w:p>
    <w:p w14:paraId="3669DD51">
      <w:pPr>
        <w:adjustRightInd w:val="0"/>
        <w:snapToGrid w:val="0"/>
        <w:spacing w:line="360" w:lineRule="auto"/>
        <w:ind w:right="-10"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第十三条</w:t>
      </w:r>
      <w:r>
        <w:rPr>
          <w:rFonts w:hint="eastAsia" w:ascii="宋体" w:hAnsi="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165C3A47">
      <w:pPr>
        <w:rPr>
          <w:rFonts w:hint="eastAsia" w:ascii="宋体" w:hAnsi="宋体" w:cs="宋体"/>
          <w:color w:val="auto"/>
          <w:highlight w:val="none"/>
        </w:rPr>
      </w:pPr>
    </w:p>
    <w:p w14:paraId="6B348511">
      <w:pPr>
        <w:adjustRightInd w:val="0"/>
        <w:snapToGrid w:val="0"/>
        <w:spacing w:line="360" w:lineRule="auto"/>
        <w:jc w:val="center"/>
        <w:rPr>
          <w:rFonts w:hint="eastAsia" w:ascii="宋体" w:hAnsi="宋体" w:cs="宋体"/>
          <w:b/>
          <w:bCs/>
          <w:color w:val="auto"/>
          <w:sz w:val="24"/>
          <w:highlight w:val="none"/>
        </w:rPr>
      </w:pPr>
      <w:bookmarkStart w:id="75" w:name="_Toc40_WPSOffice_Level2"/>
      <w:r>
        <w:rPr>
          <w:rFonts w:hint="eastAsia" w:ascii="宋体" w:hAnsi="宋体" w:cs="宋体"/>
          <w:b/>
          <w:bCs/>
          <w:color w:val="auto"/>
          <w:sz w:val="24"/>
          <w:highlight w:val="none"/>
        </w:rPr>
        <w:t>三．评标纪律</w:t>
      </w:r>
      <w:bookmarkEnd w:id="75"/>
    </w:p>
    <w:p w14:paraId="58E1BDC2">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第十四条</w:t>
      </w:r>
      <w:r>
        <w:rPr>
          <w:rFonts w:hint="eastAsia" w:ascii="宋体" w:hAnsi="宋体" w:cs="宋体"/>
          <w:bCs/>
          <w:color w:val="auto"/>
          <w:sz w:val="24"/>
          <w:highlight w:val="none"/>
        </w:rPr>
        <w:t xml:space="preserve"> 评委会和评标工作人员应严格遵守国家的法律、法规和规章制度；</w:t>
      </w:r>
      <w:r>
        <w:rPr>
          <w:rFonts w:hint="eastAsia" w:ascii="宋体" w:hAnsi="宋体" w:cs="宋体"/>
          <w:color w:val="auto"/>
          <w:sz w:val="24"/>
          <w:highlight w:val="none"/>
        </w:rPr>
        <w:t>严格按照本次招标文件进行评标；公正廉洁、不徇私情，不得损害国家利益；保护招、投标人的合法权益。</w:t>
      </w:r>
    </w:p>
    <w:p w14:paraId="67399A8F">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第十五条 </w:t>
      </w:r>
      <w:r>
        <w:rPr>
          <w:rFonts w:hint="eastAsia" w:ascii="宋体" w:hAnsi="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7EB4D0C">
      <w:pPr>
        <w:spacing w:line="360" w:lineRule="auto"/>
        <w:ind w:firstLine="482" w:firstLineChars="200"/>
        <w:jc w:val="left"/>
        <w:rPr>
          <w:rFonts w:hint="eastAsia" w:ascii="宋体" w:hAnsi="宋体" w:cs="宋体"/>
          <w:color w:val="auto"/>
          <w:sz w:val="24"/>
          <w:highlight w:val="none"/>
        </w:rPr>
      </w:pPr>
      <w:r>
        <w:rPr>
          <w:rFonts w:hint="eastAsia" w:ascii="宋体" w:hAnsi="宋体" w:cs="宋体"/>
          <w:b/>
          <w:color w:val="auto"/>
          <w:sz w:val="24"/>
          <w:highlight w:val="none"/>
        </w:rPr>
        <w:t>第十六条</w:t>
      </w:r>
      <w:r>
        <w:rPr>
          <w:rFonts w:hint="eastAsia" w:ascii="宋体" w:hAnsi="宋体" w:cs="宋体"/>
          <w:color w:val="auto"/>
          <w:sz w:val="24"/>
          <w:highlight w:val="none"/>
        </w:rPr>
        <w:t xml:space="preserve"> 在招标采购中，出现下列情形之一的，应予废标：</w:t>
      </w:r>
    </w:p>
    <w:p w14:paraId="08F78AD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1.出现影响采购公正的违法、违规行为的。</w:t>
      </w:r>
    </w:p>
    <w:p w14:paraId="1B955C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2.投标时有弄虚作假的行为。</w:t>
      </w:r>
    </w:p>
    <w:p w14:paraId="4C05B0A8">
      <w:pPr>
        <w:spacing w:line="360" w:lineRule="auto"/>
        <w:ind w:firstLine="475" w:firstLineChars="197"/>
        <w:rPr>
          <w:rFonts w:hint="eastAsia" w:ascii="宋体" w:hAnsi="宋体" w:cs="宋体"/>
          <w:color w:val="auto"/>
          <w:sz w:val="24"/>
          <w:highlight w:val="none"/>
        </w:rPr>
      </w:pPr>
      <w:r>
        <w:rPr>
          <w:rFonts w:hint="eastAsia" w:ascii="宋体" w:hAnsi="宋体" w:cs="宋体"/>
          <w:b/>
          <w:color w:val="auto"/>
          <w:sz w:val="24"/>
          <w:highlight w:val="none"/>
        </w:rPr>
        <w:t xml:space="preserve">第十七条 </w:t>
      </w:r>
      <w:r>
        <w:rPr>
          <w:rFonts w:hint="eastAsia" w:ascii="宋体" w:hAnsi="宋体" w:cs="宋体"/>
          <w:color w:val="auto"/>
          <w:sz w:val="24"/>
          <w:highlight w:val="none"/>
        </w:rPr>
        <w:t>在投标过程中，出现下列情况之一的，按照无效投标处理：</w:t>
      </w:r>
    </w:p>
    <w:p w14:paraId="1156F87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1.未按照招标文件规定要求签署、签章的</w:t>
      </w:r>
      <w:r>
        <w:rPr>
          <w:rFonts w:hint="eastAsia" w:ascii="宋体" w:hAnsi="宋体" w:cs="宋体"/>
          <w:b/>
          <w:color w:val="auto"/>
          <w:sz w:val="24"/>
          <w:highlight w:val="none"/>
        </w:rPr>
        <w:t>（目前，周口市公共资源电子交易平台为每个投标单位只办理了两个CA证书，一个用于单位投标和签章，一个用于法定代表人或负责人签章。所以，在投标文件需要电子签章时，投标单位签投标单位电子章，法定代表人或负责人签法定代表人或负责人电子章；法定代表人或负责人有授权代表投标时，出具授权委托书，授权代表的名字直接打印在签章处即可）；</w:t>
      </w:r>
    </w:p>
    <w:p w14:paraId="5085F7F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2.不具备招标文件中规定资格要求的；</w:t>
      </w:r>
    </w:p>
    <w:p w14:paraId="3E86B4A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3.不符合法律、法规和招标文件中规定的其他实质性要求的。</w:t>
      </w:r>
    </w:p>
    <w:p w14:paraId="50CDDA3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4.投标人的报价超过了采购预算，采购人不能支付的；</w:t>
      </w:r>
    </w:p>
    <w:p w14:paraId="04393E8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5.投标文件附有招标人不能接受的条件；</w:t>
      </w:r>
    </w:p>
    <w:p w14:paraId="231FC27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6.投标文件中对同一服务或标段提供选择性报价的；</w:t>
      </w:r>
    </w:p>
    <w:p w14:paraId="147517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7.商务偏差表或技术偏差表存在弄虚作假的；</w:t>
      </w:r>
    </w:p>
    <w:p w14:paraId="6B0A6E1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8.不同</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的电子投标（响应）文件上传计算机的网卡 MAC 地址、CPU 序列号和硬盘序列号等硬件信息相同的;</w:t>
      </w:r>
    </w:p>
    <w:p w14:paraId="0A2E086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9.不同</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的投标（响应）文件由同一电子设备编制，打印、复印、加密或者上传的；</w:t>
      </w:r>
    </w:p>
    <w:p w14:paraId="23060D8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10.不同</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的投标（响应）文件由同一人送达或者分发，或者不同</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联系人为同一人或不同联系人的联系电话一致的；</w:t>
      </w:r>
    </w:p>
    <w:p w14:paraId="3A42866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11.不同</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的投标（响应）文件的内容存在两处以上细节错误一致；</w:t>
      </w:r>
    </w:p>
    <w:p w14:paraId="252C0A3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12.不同</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的法定代表人或负责人、委托代理人、项目经理、项目负责人等由同一个单位缴纳社会保险或者领取报酬的；</w:t>
      </w:r>
    </w:p>
    <w:p w14:paraId="2591D606">
      <w:pPr>
        <w:spacing w:line="360" w:lineRule="auto"/>
        <w:ind w:firstLine="480" w:firstLineChars="200"/>
        <w:rPr>
          <w:color w:val="auto"/>
          <w:highlight w:val="none"/>
        </w:rPr>
      </w:pPr>
      <w:r>
        <w:rPr>
          <w:rFonts w:hint="eastAsia" w:ascii="宋体" w:hAnsi="宋体" w:cs="宋体"/>
          <w:color w:val="auto"/>
          <w:sz w:val="24"/>
          <w:highlight w:val="none"/>
        </w:rPr>
        <w:t>13.不同</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投标（响应）文件中法定代表人或者负责人签字出自同一人之手。</w:t>
      </w:r>
    </w:p>
    <w:p w14:paraId="66CC746D">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w:t>
      </w:r>
      <w:r>
        <w:rPr>
          <w:rFonts w:hint="eastAsia" w:ascii="宋体" w:hAnsi="宋体" w:cs="宋体"/>
          <w:b/>
          <w:bCs/>
          <w:color w:val="auto"/>
          <w:sz w:val="24"/>
          <w:highlight w:val="none"/>
        </w:rPr>
        <w:t>八</w:t>
      </w:r>
      <w:r>
        <w:rPr>
          <w:rFonts w:hint="eastAsia" w:ascii="宋体" w:hAnsi="宋体" w:cs="宋体"/>
          <w:b/>
          <w:color w:val="auto"/>
          <w:sz w:val="24"/>
          <w:highlight w:val="none"/>
        </w:rPr>
        <w:t xml:space="preserve">条 </w:t>
      </w:r>
      <w:r>
        <w:rPr>
          <w:rFonts w:hint="eastAsia" w:ascii="宋体" w:hAnsi="宋体" w:cs="宋体"/>
          <w:color w:val="auto"/>
          <w:sz w:val="24"/>
          <w:highlight w:val="none"/>
        </w:rPr>
        <w:t>在投标文件中，出现下列情形之一的，其投标有可能被拒绝：</w:t>
      </w:r>
    </w:p>
    <w:p w14:paraId="4C9B680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1.服务工期不确切、不肯定的投标；</w:t>
      </w:r>
    </w:p>
    <w:p w14:paraId="00F33DC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2.对售后服务、付款方式不满足招标文件要求的； </w:t>
      </w:r>
    </w:p>
    <w:p w14:paraId="0E967FB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3.投标人没有实质性响应招标文件的要求和条件的；</w:t>
      </w:r>
    </w:p>
    <w:p w14:paraId="3EAF848D">
      <w:pPr>
        <w:tabs>
          <w:tab w:val="left" w:pos="273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4.评标委员会认为投标人的报价明显低于其他通过符合性审查投标人的报价，有可能影响产品质量或者不能诚信履约的；</w:t>
      </w:r>
      <w:r>
        <w:rPr>
          <w:rFonts w:hint="eastAsia" w:ascii="宋体" w:hAnsi="宋体" w:cs="宋体"/>
          <w:color w:val="auto"/>
          <w:sz w:val="24"/>
          <w:highlight w:val="none"/>
          <w:lang w:val="en-US" w:eastAsia="zh-CN"/>
        </w:rPr>
        <w:t>评标委员会要求投标人</w:t>
      </w:r>
      <w:r>
        <w:rPr>
          <w:rFonts w:hint="eastAsia" w:ascii="宋体" w:hAnsi="宋体" w:cs="宋体"/>
          <w:color w:val="auto"/>
          <w:sz w:val="24"/>
          <w:highlight w:val="none"/>
        </w:rPr>
        <w:t>提供书面说明和相关证明材料；投标人不能证明其报价合理性的，评标委员会应当将其作为无效投标处理。</w:t>
      </w:r>
    </w:p>
    <w:p w14:paraId="6E7CE31C">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第十九条</w:t>
      </w:r>
      <w:r>
        <w:rPr>
          <w:rFonts w:hint="eastAsia" w:ascii="宋体" w:hAnsi="宋体" w:cs="宋体"/>
          <w:color w:val="auto"/>
          <w:sz w:val="24"/>
          <w:highlight w:val="none"/>
        </w:rPr>
        <w:t xml:space="preserve"> 本评标办法的解释权属于采购人。</w:t>
      </w:r>
    </w:p>
    <w:p w14:paraId="48218F13">
      <w:pPr>
        <w:spacing w:line="360" w:lineRule="auto"/>
        <w:rPr>
          <w:rFonts w:hint="eastAsia" w:ascii="宋体" w:hAnsi="宋体" w:cs="宋体"/>
          <w:color w:val="auto"/>
          <w:sz w:val="24"/>
          <w:highlight w:val="none"/>
        </w:rPr>
      </w:pPr>
    </w:p>
    <w:p w14:paraId="4A7AA6F1">
      <w:pPr>
        <w:rPr>
          <w:b/>
          <w:bCs/>
          <w:color w:val="auto"/>
          <w:sz w:val="28"/>
          <w:szCs w:val="28"/>
          <w:highlight w:val="none"/>
        </w:rPr>
      </w:pPr>
      <w:bookmarkStart w:id="76" w:name="_Toc527725920"/>
      <w:r>
        <w:rPr>
          <w:rFonts w:hint="eastAsia" w:ascii="宋体" w:hAnsi="宋体" w:cs="宋体"/>
          <w:color w:val="auto"/>
          <w:highlight w:val="none"/>
        </w:rPr>
        <w:br w:type="page"/>
      </w:r>
      <w:bookmarkStart w:id="77" w:name="_Toc40975440"/>
      <w:bookmarkStart w:id="78" w:name="_Toc19468"/>
      <w:bookmarkStart w:id="79" w:name="_Toc19953"/>
      <w:bookmarkStart w:id="80" w:name="_Toc28050"/>
      <w:r>
        <w:rPr>
          <w:rFonts w:hint="eastAsia"/>
          <w:b/>
          <w:bCs/>
          <w:color w:val="auto"/>
          <w:sz w:val="28"/>
          <w:szCs w:val="28"/>
          <w:highlight w:val="none"/>
        </w:rPr>
        <w:t>招标文件第二部分</w:t>
      </w:r>
      <w:bookmarkEnd w:id="76"/>
      <w:bookmarkEnd w:id="77"/>
      <w:bookmarkEnd w:id="78"/>
      <w:bookmarkEnd w:id="79"/>
      <w:bookmarkEnd w:id="80"/>
    </w:p>
    <w:p w14:paraId="5E6339A0">
      <w:pPr>
        <w:pStyle w:val="4"/>
        <w:spacing w:before="200" w:after="210" w:line="360" w:lineRule="auto"/>
        <w:jc w:val="center"/>
        <w:rPr>
          <w:color w:val="auto"/>
          <w:highlight w:val="none"/>
        </w:rPr>
      </w:pPr>
      <w:bookmarkStart w:id="81" w:name="_Toc6109"/>
      <w:bookmarkStart w:id="82" w:name="_Toc20612"/>
      <w:bookmarkStart w:id="83" w:name="_Toc527725921"/>
      <w:r>
        <w:rPr>
          <w:rFonts w:hint="eastAsia"/>
          <w:color w:val="auto"/>
          <w:highlight w:val="none"/>
        </w:rPr>
        <w:t>第五章 投标人须知</w:t>
      </w:r>
      <w:bookmarkEnd w:id="81"/>
      <w:bookmarkEnd w:id="82"/>
      <w:bookmarkEnd w:id="83"/>
    </w:p>
    <w:p w14:paraId="1FA6934E">
      <w:pPr>
        <w:pStyle w:val="5"/>
        <w:jc w:val="center"/>
        <w:rPr>
          <w:color w:val="auto"/>
          <w:highlight w:val="none"/>
        </w:rPr>
      </w:pPr>
      <w:bookmarkStart w:id="84" w:name="_Hlt526418143"/>
      <w:bookmarkEnd w:id="84"/>
      <w:bookmarkStart w:id="85" w:name="_Hlt509650686"/>
      <w:bookmarkEnd w:id="85"/>
      <w:bookmarkStart w:id="86" w:name="_Hlt509650126"/>
      <w:bookmarkEnd w:id="86"/>
      <w:bookmarkStart w:id="87" w:name="_Hlt509650955"/>
      <w:bookmarkEnd w:id="87"/>
      <w:bookmarkStart w:id="88" w:name="_Hlt509649998"/>
      <w:bookmarkEnd w:id="88"/>
      <w:bookmarkStart w:id="89" w:name="_Hlt509649722"/>
      <w:bookmarkEnd w:id="89"/>
      <w:bookmarkStart w:id="90" w:name="_Toc23614"/>
      <w:bookmarkStart w:id="91" w:name="_Toc32160"/>
      <w:bookmarkStart w:id="92" w:name="_Toc10068"/>
      <w:bookmarkStart w:id="93" w:name="_Toc527725922"/>
      <w:bookmarkStart w:id="94" w:name="_Toc40975442"/>
      <w:r>
        <w:rPr>
          <w:rFonts w:hint="eastAsia"/>
          <w:color w:val="auto"/>
          <w:highlight w:val="none"/>
        </w:rPr>
        <w:t>一．总  则</w:t>
      </w:r>
      <w:bookmarkEnd w:id="90"/>
      <w:bookmarkEnd w:id="91"/>
      <w:bookmarkEnd w:id="92"/>
      <w:bookmarkEnd w:id="93"/>
      <w:bookmarkEnd w:id="94"/>
    </w:p>
    <w:p w14:paraId="546DEB8E">
      <w:pPr>
        <w:spacing w:line="360" w:lineRule="auto"/>
        <w:ind w:firstLine="422" w:firstLineChars="175"/>
        <w:rPr>
          <w:rFonts w:hint="eastAsia" w:ascii="宋体" w:hAnsi="宋体" w:cs="宋体"/>
          <w:b/>
          <w:color w:val="auto"/>
          <w:sz w:val="24"/>
          <w:highlight w:val="none"/>
        </w:rPr>
      </w:pPr>
      <w:r>
        <w:rPr>
          <w:rFonts w:hint="eastAsia" w:ascii="宋体" w:hAnsi="宋体" w:cs="宋体"/>
          <w:b/>
          <w:color w:val="auto"/>
          <w:sz w:val="24"/>
          <w:highlight w:val="none"/>
        </w:rPr>
        <w:t>1.适用范围</w:t>
      </w:r>
    </w:p>
    <w:p w14:paraId="17F286B9">
      <w:pPr>
        <w:spacing w:line="360" w:lineRule="auto"/>
        <w:ind w:firstLine="420" w:firstLineChars="175"/>
        <w:rPr>
          <w:rFonts w:hint="eastAsia" w:ascii="宋体" w:hAnsi="宋体" w:cs="宋体"/>
          <w:color w:val="auto"/>
          <w:sz w:val="24"/>
          <w:highlight w:val="none"/>
        </w:rPr>
      </w:pPr>
      <w:r>
        <w:rPr>
          <w:rFonts w:hint="eastAsia" w:ascii="宋体" w:hAnsi="宋体" w:cs="宋体"/>
          <w:color w:val="auto"/>
          <w:sz w:val="24"/>
          <w:highlight w:val="none"/>
        </w:rPr>
        <w:t>1.1本招标文件仅适用于本次公开招标所述的服务项目采购。</w:t>
      </w:r>
    </w:p>
    <w:p w14:paraId="4E271C68">
      <w:pPr>
        <w:spacing w:line="360" w:lineRule="auto"/>
        <w:ind w:firstLine="422" w:firstLineChars="175"/>
        <w:rPr>
          <w:rFonts w:hint="eastAsia" w:ascii="宋体" w:hAnsi="宋体" w:cs="宋体"/>
          <w:b/>
          <w:color w:val="auto"/>
          <w:sz w:val="24"/>
          <w:highlight w:val="none"/>
        </w:rPr>
      </w:pPr>
      <w:r>
        <w:rPr>
          <w:rFonts w:hint="eastAsia" w:ascii="宋体" w:hAnsi="宋体" w:cs="宋体"/>
          <w:b/>
          <w:color w:val="auto"/>
          <w:sz w:val="24"/>
          <w:highlight w:val="none"/>
        </w:rPr>
        <w:t>2.有关定义</w:t>
      </w:r>
    </w:p>
    <w:p w14:paraId="4D799A45">
      <w:pPr>
        <w:spacing w:line="360" w:lineRule="auto"/>
        <w:ind w:firstLine="420" w:firstLineChars="175"/>
        <w:rPr>
          <w:rFonts w:hint="eastAsia" w:ascii="宋体" w:hAnsi="宋体" w:cs="宋体"/>
          <w:color w:val="auto"/>
          <w:sz w:val="24"/>
          <w:highlight w:val="none"/>
        </w:rPr>
      </w:pPr>
      <w:r>
        <w:rPr>
          <w:rFonts w:hint="eastAsia" w:ascii="宋体" w:hAnsi="宋体" w:cs="宋体"/>
          <w:color w:val="auto"/>
          <w:sz w:val="24"/>
          <w:highlight w:val="none"/>
        </w:rPr>
        <w:t>2.1招标人（采购人）：</w:t>
      </w:r>
      <w:r>
        <w:rPr>
          <w:rFonts w:hint="eastAsia" w:ascii="宋体" w:hAnsi="宋体" w:cs="宋体"/>
          <w:b/>
          <w:color w:val="auto"/>
          <w:sz w:val="24"/>
          <w:highlight w:val="none"/>
        </w:rPr>
        <w:t>周口市公安局</w:t>
      </w:r>
      <w:r>
        <w:rPr>
          <w:rFonts w:hint="eastAsia" w:ascii="宋体" w:hAnsi="宋体" w:cs="宋体"/>
          <w:color w:val="auto"/>
          <w:sz w:val="24"/>
          <w:highlight w:val="none"/>
        </w:rPr>
        <w:t>。</w:t>
      </w:r>
    </w:p>
    <w:p w14:paraId="4D2036C3">
      <w:pPr>
        <w:spacing w:line="360" w:lineRule="auto"/>
        <w:ind w:firstLine="420" w:firstLineChars="175"/>
        <w:rPr>
          <w:rFonts w:hint="eastAsia" w:ascii="宋体" w:hAnsi="宋体" w:cs="宋体"/>
          <w:color w:val="auto"/>
          <w:sz w:val="24"/>
          <w:highlight w:val="none"/>
        </w:rPr>
      </w:pPr>
      <w:r>
        <w:rPr>
          <w:rFonts w:hint="eastAsia" w:ascii="宋体" w:hAnsi="宋体" w:cs="宋体"/>
          <w:color w:val="auto"/>
          <w:sz w:val="24"/>
          <w:highlight w:val="none"/>
        </w:rPr>
        <w:t>2.2招标代理机构（集中采购机构）：系指周口市公共资源交易中心政府采购中心，以下简称“采购中心”。</w:t>
      </w:r>
    </w:p>
    <w:p w14:paraId="67E1ADAE">
      <w:pPr>
        <w:spacing w:line="360" w:lineRule="auto"/>
        <w:ind w:firstLine="420" w:firstLineChars="175"/>
        <w:jc w:val="left"/>
        <w:rPr>
          <w:rFonts w:hint="eastAsia" w:ascii="宋体" w:hAnsi="宋体" w:cs="宋体"/>
          <w:color w:val="auto"/>
          <w:sz w:val="24"/>
          <w:highlight w:val="none"/>
        </w:rPr>
      </w:pPr>
      <w:r>
        <w:rPr>
          <w:rFonts w:hint="eastAsia" w:ascii="宋体" w:hAnsi="宋体" w:cs="宋体"/>
          <w:color w:val="auto"/>
          <w:sz w:val="24"/>
          <w:highlight w:val="none"/>
        </w:rPr>
        <w:t>2.3政府采购监督管理部门：</w:t>
      </w:r>
      <w:r>
        <w:rPr>
          <w:rFonts w:hint="eastAsia" w:ascii="宋体" w:hAnsi="宋体" w:cs="宋体"/>
          <w:b/>
          <w:color w:val="auto"/>
          <w:sz w:val="24"/>
          <w:highlight w:val="none"/>
        </w:rPr>
        <w:t>系指周口市财政局政府采购监督管理科。</w:t>
      </w:r>
    </w:p>
    <w:p w14:paraId="57D0DA0E">
      <w:pPr>
        <w:spacing w:line="360" w:lineRule="auto"/>
        <w:ind w:firstLine="420" w:firstLineChars="175"/>
        <w:rPr>
          <w:rFonts w:hint="eastAsia" w:ascii="宋体" w:hAnsi="宋体" w:cs="宋体"/>
          <w:color w:val="auto"/>
          <w:sz w:val="24"/>
          <w:highlight w:val="none"/>
        </w:rPr>
      </w:pPr>
      <w:r>
        <w:rPr>
          <w:rFonts w:hint="eastAsia" w:ascii="宋体" w:hAnsi="宋体" w:cs="宋体"/>
          <w:color w:val="auto"/>
          <w:sz w:val="24"/>
          <w:highlight w:val="none"/>
        </w:rPr>
        <w:t>2.4投标人：系指已经在周口市公共资源交易中心网上下载招标文件的投标人，且已经提交或准备提交本次投标文件的制造商、</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或服务商。</w:t>
      </w:r>
    </w:p>
    <w:p w14:paraId="024A2FDE">
      <w:pPr>
        <w:spacing w:line="360" w:lineRule="auto"/>
        <w:ind w:firstLine="420" w:firstLineChars="175"/>
        <w:rPr>
          <w:rFonts w:hint="eastAsia" w:ascii="宋体" w:hAnsi="宋体" w:cs="宋体"/>
          <w:color w:val="auto"/>
          <w:sz w:val="24"/>
          <w:highlight w:val="none"/>
        </w:rPr>
      </w:pPr>
      <w:r>
        <w:rPr>
          <w:rFonts w:hint="eastAsia" w:ascii="宋体" w:hAnsi="宋体" w:cs="宋体"/>
          <w:color w:val="auto"/>
          <w:sz w:val="24"/>
          <w:highlight w:val="none"/>
        </w:rPr>
        <w:t>2.服务：系指本项目所采购内容。</w:t>
      </w:r>
    </w:p>
    <w:p w14:paraId="731B16E3">
      <w:pPr>
        <w:spacing w:line="360" w:lineRule="auto"/>
        <w:ind w:firstLine="420" w:firstLineChars="175"/>
        <w:rPr>
          <w:rFonts w:hint="eastAsia" w:ascii="宋体" w:hAnsi="宋体" w:cs="宋体"/>
          <w:color w:val="auto"/>
          <w:sz w:val="24"/>
          <w:highlight w:val="none"/>
        </w:rPr>
      </w:pPr>
      <w:r>
        <w:rPr>
          <w:rFonts w:hint="eastAsia" w:ascii="宋体" w:hAnsi="宋体" w:cs="宋体"/>
          <w:color w:val="auto"/>
          <w:sz w:val="24"/>
          <w:highlight w:val="none"/>
        </w:rPr>
        <w:t>2.6业绩：系指符合本招标文件规定且已供货（安装）完毕的合同及相关证明。</w:t>
      </w:r>
    </w:p>
    <w:p w14:paraId="7149E7FE">
      <w:pPr>
        <w:spacing w:line="360" w:lineRule="auto"/>
        <w:ind w:firstLine="420" w:firstLineChars="175"/>
        <w:rPr>
          <w:rFonts w:hint="eastAsia" w:ascii="宋体" w:hAnsi="宋体" w:cs="宋体"/>
          <w:color w:val="auto"/>
          <w:sz w:val="24"/>
          <w:highlight w:val="none"/>
        </w:rPr>
      </w:pPr>
      <w:r>
        <w:rPr>
          <w:rFonts w:hint="eastAsia" w:ascii="宋体" w:hAnsi="宋体" w:cs="宋体"/>
          <w:color w:val="auto"/>
          <w:sz w:val="24"/>
          <w:highlight w:val="none"/>
        </w:rPr>
        <w:t>2.7投标人公章：在电子投标文件中系指投标人电子签章。</w:t>
      </w:r>
    </w:p>
    <w:p w14:paraId="3B55F0D6">
      <w:pPr>
        <w:spacing w:line="360" w:lineRule="auto"/>
        <w:ind w:firstLine="420" w:firstLineChars="175"/>
        <w:rPr>
          <w:rFonts w:hint="eastAsia" w:ascii="宋体" w:hAnsi="宋体" w:cs="宋体"/>
          <w:color w:val="auto"/>
          <w:sz w:val="24"/>
          <w:highlight w:val="none"/>
        </w:rPr>
      </w:pPr>
      <w:r>
        <w:rPr>
          <w:rFonts w:hint="eastAsia" w:ascii="宋体" w:hAnsi="宋体" w:cs="宋体"/>
          <w:color w:val="auto"/>
          <w:sz w:val="24"/>
          <w:highlight w:val="none"/>
        </w:rPr>
        <w:t>2.8签字：系指手写签字或手写签字生成的电子章。</w:t>
      </w:r>
    </w:p>
    <w:p w14:paraId="6B051B6E">
      <w:pPr>
        <w:spacing w:line="360" w:lineRule="auto"/>
        <w:ind w:firstLine="420" w:firstLineChars="175"/>
        <w:rPr>
          <w:rFonts w:hint="eastAsia" w:ascii="宋体" w:hAnsi="宋体" w:cs="宋体"/>
          <w:color w:val="auto"/>
          <w:sz w:val="24"/>
          <w:szCs w:val="20"/>
          <w:highlight w:val="none"/>
        </w:rPr>
      </w:pPr>
      <w:r>
        <w:rPr>
          <w:rFonts w:hint="eastAsia" w:ascii="宋体" w:hAnsi="宋体" w:cs="宋体"/>
          <w:color w:val="auto"/>
          <w:sz w:val="24"/>
          <w:highlight w:val="none"/>
        </w:rPr>
        <w:t>2.9评委会：依</w:t>
      </w:r>
      <w:r>
        <w:rPr>
          <w:rFonts w:hint="eastAsia" w:ascii="宋体" w:hAnsi="宋体" w:cs="宋体"/>
          <w:color w:val="auto"/>
          <w:sz w:val="24"/>
          <w:szCs w:val="20"/>
          <w:highlight w:val="none"/>
        </w:rPr>
        <w:t>法组成。</w:t>
      </w:r>
    </w:p>
    <w:p w14:paraId="3DFA350F">
      <w:pPr>
        <w:spacing w:line="360" w:lineRule="auto"/>
        <w:ind w:firstLine="422" w:firstLineChars="175"/>
        <w:rPr>
          <w:rFonts w:hint="eastAsia" w:ascii="宋体" w:hAnsi="宋体" w:cs="宋体"/>
          <w:b/>
          <w:color w:val="auto"/>
          <w:sz w:val="24"/>
          <w:highlight w:val="none"/>
        </w:rPr>
      </w:pPr>
      <w:r>
        <w:rPr>
          <w:rFonts w:hint="eastAsia" w:ascii="宋体" w:hAnsi="宋体" w:cs="宋体"/>
          <w:b/>
          <w:color w:val="auto"/>
          <w:sz w:val="24"/>
          <w:highlight w:val="none"/>
        </w:rPr>
        <w:t>3.投标费用</w:t>
      </w:r>
    </w:p>
    <w:p w14:paraId="42D26215">
      <w:pPr>
        <w:spacing w:line="360" w:lineRule="auto"/>
        <w:ind w:firstLine="550"/>
        <w:rPr>
          <w:rFonts w:hint="eastAsia" w:ascii="宋体" w:hAnsi="宋体" w:cs="宋体"/>
          <w:bCs/>
          <w:color w:val="auto"/>
          <w:sz w:val="24"/>
          <w:highlight w:val="none"/>
        </w:rPr>
      </w:pPr>
      <w:r>
        <w:rPr>
          <w:rFonts w:hint="eastAsia" w:ascii="宋体" w:hAnsi="宋体" w:cs="宋体"/>
          <w:color w:val="auto"/>
          <w:sz w:val="24"/>
          <w:highlight w:val="none"/>
        </w:rPr>
        <w:t>3.1无论投标结果如何，投标人应自行承担其编制与递交投标文件所涉及的一切费用</w:t>
      </w:r>
      <w:r>
        <w:rPr>
          <w:rFonts w:hint="eastAsia" w:ascii="宋体" w:hAnsi="宋体" w:cs="宋体"/>
          <w:bCs/>
          <w:color w:val="auto"/>
          <w:sz w:val="24"/>
          <w:highlight w:val="none"/>
        </w:rPr>
        <w:t>。</w:t>
      </w:r>
      <w:r>
        <w:rPr>
          <w:rFonts w:hint="eastAsia" w:ascii="宋体" w:hAnsi="宋体" w:cs="宋体"/>
          <w:bCs/>
          <w:color w:val="auto"/>
          <w:sz w:val="24"/>
          <w:szCs w:val="20"/>
          <w:highlight w:val="none"/>
        </w:rPr>
        <w:t>评标委员会评标费用由采购人支付。</w:t>
      </w:r>
    </w:p>
    <w:p w14:paraId="1C098D1B">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4.合格的投标人</w:t>
      </w:r>
    </w:p>
    <w:p w14:paraId="3577179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4.1合格的投标人应符合招标文件载明的投标资格：</w:t>
      </w:r>
    </w:p>
    <w:p w14:paraId="34D1642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4.1.1满足《中华人民共和国政府采购法》第二十二条规定：</w:t>
      </w:r>
    </w:p>
    <w:p w14:paraId="5FFB497C">
      <w:pPr>
        <w:pStyle w:val="18"/>
        <w:numPr>
          <w:ilvl w:val="0"/>
          <w:numId w:val="22"/>
        </w:numPr>
        <w:adjustRightInd w:val="0"/>
        <w:snapToGrid w:val="0"/>
        <w:spacing w:line="360" w:lineRule="auto"/>
        <w:ind w:left="1" w:right="2" w:firstLine="480" w:firstLineChars="200"/>
        <w:rPr>
          <w:rFonts w:hint="eastAsia" w:ascii="宋体" w:hAnsi="宋体" w:cs="宋体"/>
          <w:color w:val="auto"/>
          <w:sz w:val="24"/>
          <w:highlight w:val="none"/>
        </w:rPr>
      </w:pPr>
      <w:r>
        <w:rPr>
          <w:rFonts w:hint="eastAsia" w:ascii="宋体" w:hAnsi="宋体" w:cs="宋体"/>
          <w:color w:val="auto"/>
          <w:sz w:val="24"/>
          <w:highlight w:val="none"/>
        </w:rPr>
        <w:t>具有独立承担民事责任的能力；（</w:t>
      </w:r>
      <w:r>
        <w:rPr>
          <w:rFonts w:hint="eastAsia" w:hAnsi="宋体" w:cs="宋体"/>
          <w:color w:val="auto"/>
          <w:sz w:val="24"/>
          <w:highlight w:val="none"/>
        </w:rPr>
        <w:t>如果参与投标的</w:t>
      </w:r>
      <w:r>
        <w:rPr>
          <w:rFonts w:hint="eastAsia" w:hAnsi="宋体" w:cs="宋体"/>
          <w:color w:val="auto"/>
          <w:sz w:val="24"/>
          <w:highlight w:val="none"/>
          <w:lang w:eastAsia="zh-CN"/>
        </w:rPr>
        <w:t>投标人</w:t>
      </w:r>
      <w:r>
        <w:rPr>
          <w:rFonts w:hint="eastAsia" w:hAnsi="宋体" w:cs="宋体"/>
          <w:color w:val="auto"/>
          <w:sz w:val="24"/>
          <w:highlight w:val="none"/>
        </w:rPr>
        <w:t>为分公司则须</w:t>
      </w:r>
      <w:r>
        <w:rPr>
          <w:rFonts w:hint="eastAsia" w:hAnsi="宋体" w:cs="宋体"/>
          <w:color w:val="auto"/>
          <w:sz w:val="24"/>
          <w:highlight w:val="none"/>
          <w:lang w:val="en-US" w:eastAsia="zh-CN"/>
        </w:rPr>
        <w:t>取得相应的授权</w:t>
      </w:r>
      <w:r>
        <w:rPr>
          <w:rFonts w:hint="eastAsia" w:hAnsi="宋体" w:cs="宋体"/>
          <w:color w:val="auto"/>
          <w:sz w:val="24"/>
          <w:highlight w:val="none"/>
        </w:rPr>
        <w:t>且授权书载明</w:t>
      </w:r>
      <w:r>
        <w:rPr>
          <w:rFonts w:hint="eastAsia" w:hAnsi="宋体" w:cs="宋体"/>
          <w:color w:val="auto"/>
          <w:sz w:val="24"/>
          <w:highlight w:val="none"/>
          <w:lang w:val="en-US" w:eastAsia="zh-CN"/>
        </w:rPr>
        <w:t>授权范围，</w:t>
      </w:r>
      <w:r>
        <w:rPr>
          <w:rFonts w:hint="eastAsia" w:ascii="宋体" w:hAnsi="宋体" w:cs="宋体"/>
          <w:color w:val="auto"/>
          <w:sz w:val="24"/>
          <w:highlight w:val="none"/>
        </w:rPr>
        <w:t>须提供分公司营业执照并同时提供总公司营业执照</w:t>
      </w:r>
      <w:r>
        <w:rPr>
          <w:rFonts w:hint="eastAsia" w:ascii="宋体" w:hAnsi="宋体" w:cs="宋体"/>
          <w:color w:val="auto"/>
          <w:sz w:val="24"/>
          <w:highlight w:val="none"/>
          <w:lang w:eastAsia="zh-CN"/>
        </w:rPr>
        <w:t>，</w:t>
      </w:r>
      <w:r>
        <w:rPr>
          <w:rFonts w:hint="eastAsia" w:ascii="宋体" w:hAnsi="宋体" w:cs="宋体"/>
          <w:color w:val="auto"/>
          <w:sz w:val="24"/>
          <w:highlight w:val="none"/>
        </w:rPr>
        <w:t>不接受同一总公司授权两家或以上分公司同时参与本项目投标，也不接受总公司与分公司同时参与本项目投标。个体工商户参与投标的需注明经营者信息</w:t>
      </w:r>
      <w:r>
        <w:rPr>
          <w:rFonts w:hint="eastAsia" w:ascii="宋体" w:hAnsi="宋体" w:cs="宋体"/>
          <w:color w:val="auto"/>
          <w:sz w:val="24"/>
          <w:highlight w:val="none"/>
          <w:lang w:eastAsia="zh-CN"/>
        </w:rPr>
        <w:t>）</w:t>
      </w:r>
      <w:r>
        <w:rPr>
          <w:rFonts w:hint="eastAsia" w:ascii="宋体" w:hAnsi="宋体" w:cs="宋体"/>
          <w:color w:val="auto"/>
          <w:sz w:val="24"/>
          <w:highlight w:val="none"/>
        </w:rPr>
        <w:t>。</w:t>
      </w:r>
    </w:p>
    <w:p w14:paraId="463F11C8">
      <w:pPr>
        <w:pStyle w:val="18"/>
        <w:numPr>
          <w:ilvl w:val="255"/>
          <w:numId w:val="0"/>
        </w:numPr>
        <w:adjustRightInd w:val="0"/>
        <w:snapToGrid w:val="0"/>
        <w:spacing w:line="360" w:lineRule="auto"/>
        <w:ind w:right="2" w:firstLine="480" w:firstLineChars="200"/>
        <w:rPr>
          <w:rFonts w:hint="eastAsia" w:ascii="宋体" w:hAnsi="宋体" w:cstheme="majorEastAsia"/>
          <w:color w:val="auto"/>
          <w:sz w:val="24"/>
          <w:highlight w:val="none"/>
        </w:rPr>
      </w:pPr>
      <w:r>
        <w:rPr>
          <w:rFonts w:hint="eastAsia" w:ascii="宋体" w:hAnsi="宋体" w:cs="宋体"/>
          <w:color w:val="auto"/>
          <w:sz w:val="24"/>
          <w:highlight w:val="none"/>
        </w:rPr>
        <w:t>（2）具有良好的商业信誉和健全的财务会计制度；</w:t>
      </w:r>
      <w:r>
        <w:rPr>
          <w:rFonts w:hint="eastAsia" w:ascii="宋体" w:hAnsi="宋体" w:cstheme="majorEastAsia"/>
          <w:color w:val="auto"/>
          <w:sz w:val="24"/>
          <w:highlight w:val="none"/>
        </w:rPr>
        <w:t>(应提供2024年财务审计报告，包括资产负债表、现金流量表、利润表和附注。新成立</w:t>
      </w:r>
      <w:r>
        <w:rPr>
          <w:rFonts w:hint="eastAsia" w:ascii="宋体" w:hAnsi="宋体" w:cstheme="majorEastAsia"/>
          <w:color w:val="auto"/>
          <w:sz w:val="24"/>
          <w:highlight w:val="none"/>
          <w:lang w:eastAsia="zh-CN"/>
        </w:rPr>
        <w:t>投标人</w:t>
      </w:r>
      <w:r>
        <w:rPr>
          <w:rFonts w:hint="eastAsia" w:ascii="宋体" w:hAnsi="宋体" w:cstheme="majorEastAsia"/>
          <w:color w:val="auto"/>
          <w:sz w:val="24"/>
          <w:highlight w:val="none"/>
        </w:rPr>
        <w:t>不足年限要求的，按实际情况提供财务审计报告或其基本开户银行出具的资信证明。)</w:t>
      </w:r>
    </w:p>
    <w:p w14:paraId="3C6CAB7B">
      <w:pPr>
        <w:pStyle w:val="18"/>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（3）具有履行合同所必需的设备和专业技术能力；</w:t>
      </w:r>
    </w:p>
    <w:p w14:paraId="2FFB57F0">
      <w:pPr>
        <w:pStyle w:val="18"/>
        <w:snapToGrid w:val="0"/>
        <w:spacing w:line="360" w:lineRule="auto"/>
        <w:ind w:firstLine="480" w:firstLineChars="200"/>
        <w:rPr>
          <w:color w:val="auto"/>
          <w:highlight w:val="none"/>
        </w:rPr>
      </w:pPr>
      <w:r>
        <w:rPr>
          <w:rFonts w:hint="eastAsia" w:ascii="宋体" w:hAnsi="宋体" w:cs="宋体"/>
          <w:color w:val="auto"/>
          <w:sz w:val="24"/>
          <w:highlight w:val="none"/>
        </w:rPr>
        <w:t>（4）有依法缴纳税收和社会保障资金的良好记录（提供202</w:t>
      </w:r>
      <w:r>
        <w:rPr>
          <w:rFonts w:hint="eastAsia" w:hAnsi="宋体" w:cs="宋体"/>
          <w:color w:val="auto"/>
          <w:sz w:val="24"/>
          <w:highlight w:val="none"/>
        </w:rPr>
        <w:t>5</w:t>
      </w:r>
      <w:r>
        <w:rPr>
          <w:rFonts w:hint="eastAsia" w:ascii="宋体" w:hAnsi="宋体" w:cs="宋体"/>
          <w:color w:val="auto"/>
          <w:sz w:val="24"/>
          <w:highlight w:val="none"/>
        </w:rPr>
        <w:t>年4月1日以来任意</w:t>
      </w:r>
      <w:r>
        <w:rPr>
          <w:rFonts w:hint="eastAsia" w:hAnsi="宋体" w:cs="宋体"/>
          <w:color w:val="auto"/>
          <w:sz w:val="24"/>
          <w:highlight w:val="none"/>
        </w:rPr>
        <w:t>1</w:t>
      </w:r>
      <w:r>
        <w:rPr>
          <w:rFonts w:hint="eastAsia" w:ascii="宋体" w:hAnsi="宋体" w:cs="宋体"/>
          <w:color w:val="auto"/>
          <w:sz w:val="24"/>
          <w:highlight w:val="none"/>
        </w:rPr>
        <w:t>个月依法缴纳税收的证明材料和202</w:t>
      </w:r>
      <w:r>
        <w:rPr>
          <w:rFonts w:hint="eastAsia" w:hAnsi="宋体" w:cs="宋体"/>
          <w:color w:val="auto"/>
          <w:sz w:val="24"/>
          <w:highlight w:val="none"/>
        </w:rPr>
        <w:t>5</w:t>
      </w:r>
      <w:r>
        <w:rPr>
          <w:rFonts w:hint="eastAsia" w:ascii="宋体" w:hAnsi="宋体" w:cs="宋体"/>
          <w:color w:val="auto"/>
          <w:sz w:val="24"/>
          <w:highlight w:val="none"/>
        </w:rPr>
        <w:t>年4月1日以来任意1个月依法缴纳社会保障资金的证明材料，投标人成立时间不足要求时限的，提供依法证明材料即可，依法免税或不需要缴纳社会保障资金的</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应提供相应的证明文件）；</w:t>
      </w:r>
    </w:p>
    <w:p w14:paraId="58696C40">
      <w:pPr>
        <w:pStyle w:val="18"/>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（5）参加政府采购活动前三年内，在经营活动中没有重大违法记录（提供没有重大违法记录的书面声明函，格式自拟）；</w:t>
      </w:r>
    </w:p>
    <w:p w14:paraId="5F6AB9D3">
      <w:pPr>
        <w:pStyle w:val="18"/>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(6)法律规定的其他条件；</w:t>
      </w:r>
    </w:p>
    <w:p w14:paraId="1C67C70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4.2投标人之间如果存在下列情形之一的，不得同时参加同一标段（包别）或者不分标段（包别）的同一项目投标：</w:t>
      </w:r>
    </w:p>
    <w:p w14:paraId="544BC058">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4.2.1法定代表人或负责人为同一个人的</w:t>
      </w:r>
      <w:r>
        <w:rPr>
          <w:rFonts w:hint="eastAsia" w:ascii="宋体" w:hAnsi="宋体" w:cs="宋体"/>
          <w:color w:val="auto"/>
          <w:sz w:val="24"/>
          <w:szCs w:val="20"/>
          <w:highlight w:val="none"/>
        </w:rPr>
        <w:t>两个及两个以上法人</w:t>
      </w:r>
      <w:r>
        <w:rPr>
          <w:rFonts w:hint="eastAsia" w:ascii="宋体" w:hAnsi="宋体" w:cs="宋体"/>
          <w:color w:val="auto"/>
          <w:sz w:val="24"/>
          <w:highlight w:val="none"/>
        </w:rPr>
        <w:t>；</w:t>
      </w:r>
    </w:p>
    <w:p w14:paraId="791ED784">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4.2.2母公司、全资子公司及其控股公司；</w:t>
      </w:r>
    </w:p>
    <w:p w14:paraId="2F3EE435">
      <w:pPr>
        <w:pStyle w:val="1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4.2.3参加投标的其他组织之间存在特殊的利害关系的；</w:t>
      </w:r>
    </w:p>
    <w:p w14:paraId="1AC58578">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4.2.4法律和行政法规规定的其他情形；</w:t>
      </w:r>
    </w:p>
    <w:p w14:paraId="269E199F">
      <w:pPr>
        <w:spacing w:line="360" w:lineRule="auto"/>
        <w:ind w:left="420" w:leftChars="200" w:firstLine="88" w:firstLineChars="37"/>
        <w:rPr>
          <w:rFonts w:hint="eastAsia" w:ascii="宋体" w:hAnsi="宋体" w:cs="宋体"/>
          <w:color w:val="auto"/>
          <w:sz w:val="24"/>
          <w:szCs w:val="20"/>
          <w:highlight w:val="none"/>
        </w:rPr>
      </w:pPr>
      <w:r>
        <w:rPr>
          <w:rFonts w:hint="eastAsia" w:ascii="宋体" w:hAnsi="宋体" w:cs="宋体"/>
          <w:color w:val="auto"/>
          <w:sz w:val="24"/>
          <w:szCs w:val="20"/>
          <w:highlight w:val="none"/>
        </w:rPr>
        <w:t>4.3未被在</w:t>
      </w:r>
      <w:r>
        <w:rPr>
          <w:rFonts w:hint="eastAsia" w:ascii="宋体" w:hAnsi="宋体" w:cs="宋体"/>
          <w:color w:val="auto"/>
          <w:sz w:val="24"/>
          <w:szCs w:val="20"/>
          <w:highlight w:val="none"/>
          <w:lang w:val="en-US" w:eastAsia="zh-CN"/>
        </w:rPr>
        <w:t>国家</w:t>
      </w:r>
      <w:r>
        <w:rPr>
          <w:rFonts w:hint="eastAsia" w:ascii="宋体" w:hAnsi="宋体" w:cs="宋体"/>
          <w:color w:val="auto"/>
          <w:sz w:val="24"/>
          <w:szCs w:val="20"/>
          <w:highlight w:val="none"/>
        </w:rPr>
        <w:t>企业信用信息公示系统中列入严重违法失信企业名单和经营异常名录。</w:t>
      </w:r>
    </w:p>
    <w:p w14:paraId="1A49B81D">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4.4投标人提供加盖单位公章、法定代表人或负责人签章的营业执照扫描件。</w:t>
      </w:r>
    </w:p>
    <w:p w14:paraId="1928F1BA">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4.5</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自觉抵制政府采购领域商业贿赂行为承诺书</w:t>
      </w:r>
      <w:r>
        <w:rPr>
          <w:rFonts w:hint="eastAsia" w:ascii="宋体" w:hAnsi="宋体" w:cs="宋体"/>
          <w:color w:val="auto"/>
          <w:sz w:val="24"/>
          <w:highlight w:val="none"/>
          <w:lang w:eastAsia="zh-CN"/>
        </w:rPr>
        <w:t>。</w:t>
      </w:r>
    </w:p>
    <w:p w14:paraId="52CE2118">
      <w:pPr>
        <w:spacing w:line="360" w:lineRule="auto"/>
        <w:ind w:left="420" w:leftChars="200" w:firstLine="88" w:firstLineChars="37"/>
        <w:rPr>
          <w:rFonts w:hint="eastAsia" w:ascii="宋体" w:hAnsi="宋体" w:eastAsia="宋体" w:cs="宋体"/>
          <w:color w:val="auto"/>
          <w:sz w:val="24"/>
          <w:highlight w:val="none"/>
          <w:lang w:eastAsia="zh-CN"/>
        </w:rPr>
      </w:pPr>
      <w:r>
        <w:rPr>
          <w:rFonts w:hint="eastAsia" w:ascii="宋体" w:hAnsi="宋体" w:cs="宋体"/>
          <w:color w:val="auto"/>
          <w:sz w:val="24"/>
          <w:highlight w:val="none"/>
        </w:rPr>
        <w:t>4.6</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需提供售后服务体系与承诺</w:t>
      </w:r>
      <w:r>
        <w:rPr>
          <w:rFonts w:hint="eastAsia" w:ascii="宋体" w:hAnsi="宋体" w:cs="宋体"/>
          <w:color w:val="auto"/>
          <w:sz w:val="24"/>
          <w:highlight w:val="none"/>
          <w:lang w:eastAsia="zh-CN"/>
        </w:rPr>
        <w:t>。</w:t>
      </w:r>
    </w:p>
    <w:p w14:paraId="48D87C38">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5.勘察现场</w:t>
      </w:r>
    </w:p>
    <w:p w14:paraId="34225CC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5.1投标人通过对服务现场和周围环境进行勘察，以获取编制投标文件所需的资料。</w:t>
      </w:r>
    </w:p>
    <w:p w14:paraId="2DCD13A9">
      <w:pPr>
        <w:spacing w:line="360" w:lineRule="auto"/>
        <w:ind w:firstLine="550"/>
        <w:rPr>
          <w:color w:val="auto"/>
          <w:highlight w:val="none"/>
        </w:rPr>
      </w:pPr>
      <w:r>
        <w:rPr>
          <w:rFonts w:hint="eastAsia" w:ascii="宋体" w:hAnsi="宋体" w:cs="宋体"/>
          <w:color w:val="auto"/>
          <w:sz w:val="24"/>
          <w:highlight w:val="none"/>
        </w:rPr>
        <w:t>5.2根据本项目服务特点，确保项目顺利实施，请潜在投标人下载招标文件后根据本项目服务需求，在下载招标文件截止后第一个工作日上午9-12点、下午15-17点，自行与采购人联系进行现场实地勘查。项目联系人：张登辉；联系方式：0394-8177693。经采购人核实投标人已按服务需求对现场进行了勘察，由采购人实施单位开具加盖公章的勘察证明，投标人将勘察证明原件放在投标文件中（电子标为原件扫描件）。</w:t>
      </w:r>
    </w:p>
    <w:p w14:paraId="2F7818C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5.3勘察现场所发生的费用由投标人自行承担。采购人向投标人提供的有关服务现场的资料和数据，是采购人现有的能使投标人利用的资料。采购人对投标人由此而做出的推论、理解和结论概不负责。投标人未到服务现场实地踏勘的，中标后签订合同时和履约过程中，不得以不完全了解现场情况为由，提出任何形式的增加合同价款或索赔的要求。</w:t>
      </w:r>
    </w:p>
    <w:p w14:paraId="2D5C6B95">
      <w:pPr>
        <w:spacing w:line="360" w:lineRule="auto"/>
        <w:ind w:firstLine="550"/>
        <w:rPr>
          <w:rFonts w:hint="eastAsia" w:ascii="宋体" w:hAnsi="宋体" w:cs="宋体"/>
          <w:b/>
          <w:color w:val="auto"/>
          <w:sz w:val="24"/>
          <w:highlight w:val="none"/>
        </w:rPr>
      </w:pPr>
      <w:r>
        <w:rPr>
          <w:rFonts w:hint="eastAsia" w:ascii="宋体" w:hAnsi="宋体" w:cs="宋体"/>
          <w:color w:val="auto"/>
          <w:sz w:val="24"/>
          <w:highlight w:val="none"/>
        </w:rPr>
        <w:t>5.4除非有特殊要求，招标文件不单独提供服务所在地的自然环境、气候条件、公用设施等情况，投标人被视为熟悉上述与履行合同有关的一切情况。</w:t>
      </w:r>
    </w:p>
    <w:p w14:paraId="4D97F750">
      <w:pPr>
        <w:spacing w:line="360" w:lineRule="auto"/>
        <w:ind w:firstLine="550"/>
        <w:rPr>
          <w:rFonts w:hint="eastAsia" w:ascii="宋体" w:hAnsi="宋体" w:cs="宋体"/>
          <w:bCs/>
          <w:color w:val="auto"/>
          <w:sz w:val="24"/>
          <w:highlight w:val="none"/>
        </w:rPr>
      </w:pPr>
      <w:r>
        <w:rPr>
          <w:rFonts w:hint="eastAsia" w:ascii="宋体" w:hAnsi="宋体" w:cs="宋体"/>
          <w:b/>
          <w:color w:val="auto"/>
          <w:sz w:val="24"/>
          <w:highlight w:val="none"/>
        </w:rPr>
        <w:t>6.知识产权</w:t>
      </w:r>
    </w:p>
    <w:p w14:paraId="59F79D24">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6.1</w:t>
      </w:r>
      <w:r>
        <w:rPr>
          <w:rFonts w:hint="eastAsia" w:ascii="宋体" w:hAnsi="宋体" w:cs="宋体"/>
          <w:bCs/>
          <w:color w:val="auto"/>
          <w:sz w:val="24"/>
          <w:highlight w:val="none"/>
        </w:rPr>
        <w:t>投标人须书面保证，</w:t>
      </w:r>
      <w:r>
        <w:rPr>
          <w:rFonts w:hint="eastAsia" w:ascii="宋体" w:hAnsi="宋体" w:cs="宋体"/>
          <w:bCs/>
          <w:color w:val="auto"/>
          <w:sz w:val="24"/>
          <w:szCs w:val="20"/>
          <w:highlight w:val="none"/>
        </w:rPr>
        <w:t>在投标文件中声明，</w:t>
      </w:r>
      <w:r>
        <w:rPr>
          <w:rFonts w:hint="eastAsia" w:ascii="宋体" w:hAnsi="宋体" w:cs="宋体"/>
          <w:bCs/>
          <w:color w:val="auto"/>
          <w:sz w:val="24"/>
          <w:highlight w:val="none"/>
        </w:rPr>
        <w:t>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auto"/>
          <w:sz w:val="24"/>
          <w:highlight w:val="none"/>
        </w:rPr>
        <w:t>如因此导致采购人损失的，投标人须承担全部赔偿责任。</w:t>
      </w:r>
    </w:p>
    <w:p w14:paraId="0B54493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w:t>
      </w:r>
    </w:p>
    <w:p w14:paraId="3B88B1D8">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7.纪律与保密</w:t>
      </w:r>
    </w:p>
    <w:p w14:paraId="061B8B8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7.1投标人的投标行为应遵守中国的有关法律、法规和规章。</w:t>
      </w:r>
    </w:p>
    <w:p w14:paraId="69C48EA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7.2投标人</w:t>
      </w:r>
      <w:r>
        <w:rPr>
          <w:rFonts w:hint="eastAsia" w:ascii="宋体" w:hAnsi="宋体" w:cs="宋体"/>
          <w:color w:val="auto"/>
          <w:sz w:val="24"/>
          <w:szCs w:val="20"/>
          <w:highlight w:val="none"/>
        </w:rPr>
        <w:t>需书面保证</w:t>
      </w:r>
      <w:r>
        <w:rPr>
          <w:rFonts w:hint="eastAsia" w:ascii="宋体" w:hAnsi="宋体" w:cs="宋体"/>
          <w:color w:val="auto"/>
          <w:sz w:val="24"/>
          <w:highlight w:val="none"/>
        </w:rPr>
        <w:t>不得相互串通投标报价，不得妨碍其他投标人的公平竞争，不得损害采购人或其他投标人的合法权益，投标人不得以向采购人、评委会成员行贿或者采取其他不正当手段谋取中标。</w:t>
      </w:r>
    </w:p>
    <w:p w14:paraId="34A0DFD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7.2.1有下列情形之一的，属于投标人相互串通投标：</w:t>
      </w:r>
    </w:p>
    <w:p w14:paraId="1AB78E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7.2.1.1不同投标人的投标文件由同一单位或者个人编制；</w:t>
      </w:r>
    </w:p>
    <w:p w14:paraId="0EF4C0D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7.2.1.2不同投标人委托同一单位或者个人办理投标事宜；</w:t>
      </w:r>
    </w:p>
    <w:p w14:paraId="5E96146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7.2.1.3不同投标人的投标文件载明的项目管理成员或者联系人员为同一人；</w:t>
      </w:r>
    </w:p>
    <w:p w14:paraId="3E9889C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7.2.1.4不同投标人的投标文件异常一致或者投标报价呈规律性差异；</w:t>
      </w:r>
    </w:p>
    <w:p w14:paraId="7CEA8E8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7.2.1.5不同投标人的投标文件相互混装。</w:t>
      </w:r>
    </w:p>
    <w:p w14:paraId="4D69C45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7.3在确定中标人之前，投标人不得与采购人就投标价格、投标方案等实质性内容进行谈判，也不得私下接触评委会成员。</w:t>
      </w:r>
    </w:p>
    <w:p w14:paraId="6D9D9FD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7.4在确定中标人之前，投标人试图在投标文件审查、澄清、比较和评价时对评委会、采购人和采购中心施加任何影响都可能导致其投标无效。</w:t>
      </w:r>
    </w:p>
    <w:p w14:paraId="530A907D">
      <w:pPr>
        <w:spacing w:line="360" w:lineRule="auto"/>
        <w:ind w:firstLine="549"/>
        <w:rPr>
          <w:rFonts w:hint="eastAsia" w:ascii="宋体" w:hAnsi="宋体" w:cs="宋体"/>
          <w:b/>
          <w:bCs/>
          <w:color w:val="auto"/>
          <w:sz w:val="24"/>
          <w:highlight w:val="none"/>
        </w:rPr>
      </w:pPr>
      <w:r>
        <w:rPr>
          <w:rFonts w:hint="eastAsia" w:ascii="宋体" w:hAnsi="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r>
        <w:rPr>
          <w:rFonts w:hint="eastAsia" w:ascii="宋体" w:hAnsi="宋体" w:cs="宋体"/>
          <w:color w:val="auto"/>
          <w:sz w:val="24"/>
          <w:szCs w:val="20"/>
          <w:highlight w:val="none"/>
        </w:rPr>
        <w:t>参与采购竞标活动的各方应对投标文件的商业和技术等秘密保密，违者应对由此造成的后果承担法律责任。对上述作出书面保证并附投标文件中，否则视为不响应招标文件要求。</w:t>
      </w:r>
    </w:p>
    <w:p w14:paraId="5755F608">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8.联合体投标</w:t>
      </w:r>
    </w:p>
    <w:p w14:paraId="17CC7CF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不接受联合体投标。</w:t>
      </w:r>
    </w:p>
    <w:p w14:paraId="1AE273A3">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9.投标品牌</w:t>
      </w:r>
    </w:p>
    <w:p w14:paraId="7C7AE344">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116DAA9B">
      <w:pPr>
        <w:spacing w:line="360" w:lineRule="auto"/>
        <w:ind w:firstLine="525"/>
        <w:rPr>
          <w:rFonts w:hint="eastAsia" w:ascii="宋体" w:hAnsi="宋体" w:cs="宋体"/>
          <w:b/>
          <w:bCs/>
          <w:color w:val="auto"/>
          <w:sz w:val="24"/>
          <w:highlight w:val="none"/>
        </w:rPr>
      </w:pPr>
      <w:r>
        <w:rPr>
          <w:rFonts w:hint="eastAsia" w:ascii="宋体" w:hAnsi="宋体" w:cs="宋体"/>
          <w:b/>
          <w:bCs/>
          <w:color w:val="auto"/>
          <w:sz w:val="24"/>
          <w:highlight w:val="none"/>
        </w:rPr>
        <w:t>10.投标专用章的效力</w:t>
      </w:r>
    </w:p>
    <w:p w14:paraId="3736BC60">
      <w:pPr>
        <w:spacing w:line="360" w:lineRule="auto"/>
        <w:ind w:firstLine="525"/>
        <w:rPr>
          <w:rFonts w:hint="eastAsia" w:ascii="宋体" w:hAnsi="宋体" w:cs="宋体"/>
          <w:color w:val="auto"/>
          <w:sz w:val="24"/>
          <w:highlight w:val="none"/>
        </w:rPr>
      </w:pPr>
      <w:r>
        <w:rPr>
          <w:rFonts w:hint="eastAsia" w:ascii="宋体" w:hAnsi="宋体" w:cs="宋体"/>
          <w:color w:val="auto"/>
          <w:sz w:val="24"/>
          <w:highlight w:val="none"/>
        </w:rPr>
        <w:t>10.1招标文件中明确要求加盖电子签章的，投标人必须加盖投标人电子签章</w:t>
      </w:r>
      <w:r>
        <w:rPr>
          <w:rFonts w:hint="eastAsia" w:ascii="宋体" w:hAnsi="宋体" w:cs="宋体"/>
          <w:color w:val="auto"/>
          <w:sz w:val="24"/>
          <w:szCs w:val="20"/>
          <w:highlight w:val="none"/>
        </w:rPr>
        <w:t>并加盖骑缝章</w:t>
      </w:r>
      <w:r>
        <w:rPr>
          <w:rFonts w:hint="eastAsia" w:ascii="宋体" w:hAnsi="宋体" w:cs="宋体"/>
          <w:color w:val="auto"/>
          <w:sz w:val="24"/>
          <w:highlight w:val="none"/>
        </w:rPr>
        <w:t>。</w:t>
      </w:r>
    </w:p>
    <w:p w14:paraId="49E56DF7">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11.合同标的转让</w:t>
      </w:r>
    </w:p>
    <w:p w14:paraId="01B87453">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 xml:space="preserve">11.1合同未约定或者未经采购人同意，中标人不得向他人转让中标项目，也不得将中标项目肢解后分别向他人转让。 </w:t>
      </w:r>
    </w:p>
    <w:p w14:paraId="1C53549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3E106CA">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11.3中标人应当就分包项目向采购人负责，接受分包的人就分包项目承担连带责任。</w:t>
      </w:r>
    </w:p>
    <w:p w14:paraId="2ACE4D60">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11.4未经政府采购管理部门批准，进口设备不得转包。</w:t>
      </w:r>
    </w:p>
    <w:p w14:paraId="477B151F">
      <w:pPr>
        <w:spacing w:line="360" w:lineRule="auto"/>
        <w:ind w:firstLine="525" w:firstLineChars="218"/>
        <w:rPr>
          <w:rFonts w:hint="eastAsia" w:ascii="宋体" w:hAnsi="宋体" w:cs="宋体"/>
          <w:color w:val="auto"/>
          <w:sz w:val="24"/>
          <w:highlight w:val="none"/>
        </w:rPr>
      </w:pPr>
      <w:r>
        <w:rPr>
          <w:rFonts w:hint="eastAsia" w:ascii="宋体" w:hAnsi="宋体" w:cs="宋体"/>
          <w:b/>
          <w:bCs/>
          <w:color w:val="auto"/>
          <w:sz w:val="24"/>
          <w:highlight w:val="none"/>
        </w:rPr>
        <w:t>12.会员信息库</w:t>
      </w:r>
    </w:p>
    <w:p w14:paraId="57E6176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311CE61F">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3CB4F7F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为确保投标文件通过评审，投标人应及时对入库资料进行补充、更新。</w:t>
      </w:r>
    </w:p>
    <w:p w14:paraId="0599D497">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如因前款原因未通过本项目评委会评审，由投标人承担全部责任。</w:t>
      </w:r>
    </w:p>
    <w:p w14:paraId="797D631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12.3网上会员库中文字资料与扫描件资料不一致时，以扫描件资料为准。</w:t>
      </w:r>
    </w:p>
    <w:p w14:paraId="5A5073E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12.4有关会员库的更多信息，请登陆周口市公共资源交易中心网查询。</w:t>
      </w:r>
    </w:p>
    <w:p w14:paraId="5B7C3904">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13.采购信息的发布</w:t>
      </w:r>
    </w:p>
    <w:p w14:paraId="47A43A33">
      <w:pPr>
        <w:spacing w:line="360" w:lineRule="auto"/>
        <w:ind w:firstLine="550"/>
        <w:rPr>
          <w:rFonts w:hint="eastAsia" w:ascii="宋体" w:hAnsi="宋体" w:cs="宋体"/>
          <w:color w:val="auto"/>
          <w:sz w:val="28"/>
          <w:highlight w:val="none"/>
        </w:rPr>
      </w:pPr>
      <w:r>
        <w:rPr>
          <w:rFonts w:hint="eastAsia" w:ascii="宋体" w:hAnsi="宋体" w:cs="宋体"/>
          <w:color w:val="auto"/>
          <w:sz w:val="24"/>
          <w:highlight w:val="none"/>
        </w:rPr>
        <w:t>13.1与本次采购活动相关的信息，将发布在周口市公共资源交易中心网(</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宋体" w:hAnsi="宋体" w:cs="宋体"/>
          <w:color w:val="auto"/>
          <w:sz w:val="24"/>
          <w:highlight w:val="none"/>
        </w:rPr>
        <w:t>http://jyzx.zhoukou.gov.cn</w:t>
      </w:r>
      <w:r>
        <w:rPr>
          <w:rFonts w:hint="eastAsia" w:ascii="宋体" w:hAnsi="宋体" w:cs="宋体"/>
          <w:color w:val="auto"/>
          <w:sz w:val="24"/>
          <w:highlight w:val="none"/>
        </w:rPr>
        <w:fldChar w:fldCharType="end"/>
      </w:r>
      <w:r>
        <w:rPr>
          <w:rFonts w:hint="eastAsia" w:ascii="宋体" w:hAnsi="宋体" w:cs="宋体"/>
          <w:color w:val="auto"/>
          <w:sz w:val="24"/>
          <w:highlight w:val="none"/>
        </w:rPr>
        <w:t>)及河南省政府采购网（www.hngp.gov.cn），以下简称“网站”。</w:t>
      </w:r>
    </w:p>
    <w:p w14:paraId="02599803">
      <w:pPr>
        <w:pStyle w:val="5"/>
        <w:jc w:val="center"/>
        <w:rPr>
          <w:color w:val="auto"/>
          <w:highlight w:val="none"/>
        </w:rPr>
      </w:pPr>
      <w:r>
        <w:rPr>
          <w:rFonts w:hint="eastAsia"/>
          <w:color w:val="auto"/>
          <w:highlight w:val="none"/>
        </w:rPr>
        <w:t>二．招标文件</w:t>
      </w:r>
    </w:p>
    <w:p w14:paraId="42296AA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14.招标文件构成</w:t>
      </w:r>
    </w:p>
    <w:p w14:paraId="49EC7D8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14.1招标文件包括以下部分：</w:t>
      </w:r>
    </w:p>
    <w:p w14:paraId="10988920">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14.1.1第一章：</w:t>
      </w:r>
      <w:r>
        <w:rPr>
          <w:rFonts w:hint="eastAsia" w:ascii="宋体" w:hAnsi="宋体" w:cs="宋体"/>
          <w:bCs/>
          <w:color w:val="auto"/>
          <w:sz w:val="24"/>
          <w:highlight w:val="none"/>
        </w:rPr>
        <w:t>投标邀请（招标公告）；</w:t>
      </w:r>
    </w:p>
    <w:p w14:paraId="46D14560">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14.1.2第二章：</w:t>
      </w:r>
      <w:r>
        <w:rPr>
          <w:rFonts w:hint="eastAsia" w:ascii="宋体" w:hAnsi="宋体" w:cs="宋体"/>
          <w:bCs/>
          <w:color w:val="auto"/>
          <w:sz w:val="24"/>
          <w:highlight w:val="none"/>
        </w:rPr>
        <w:t>投标人须知前附表；</w:t>
      </w:r>
    </w:p>
    <w:p w14:paraId="655F48EB">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14.1.3第三章：</w:t>
      </w:r>
      <w:r>
        <w:rPr>
          <w:rFonts w:hint="eastAsia" w:ascii="宋体" w:hAnsi="宋体" w:cs="宋体"/>
          <w:bCs/>
          <w:color w:val="auto"/>
          <w:sz w:val="24"/>
          <w:highlight w:val="none"/>
        </w:rPr>
        <w:t>需求一览表；</w:t>
      </w:r>
    </w:p>
    <w:p w14:paraId="137D3F6F">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14.1.4第四章：</w:t>
      </w:r>
      <w:r>
        <w:rPr>
          <w:rFonts w:hint="eastAsia" w:ascii="宋体" w:hAnsi="宋体" w:cs="宋体"/>
          <w:bCs/>
          <w:color w:val="auto"/>
          <w:sz w:val="24"/>
          <w:highlight w:val="none"/>
        </w:rPr>
        <w:t>评标办法；</w:t>
      </w:r>
    </w:p>
    <w:p w14:paraId="46F7338E">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14.1.5第五章：</w:t>
      </w:r>
      <w:r>
        <w:rPr>
          <w:rFonts w:hint="eastAsia" w:ascii="宋体" w:hAnsi="宋体" w:cs="宋体"/>
          <w:bCs/>
          <w:color w:val="auto"/>
          <w:sz w:val="24"/>
          <w:highlight w:val="none"/>
        </w:rPr>
        <w:t>投标人须知；</w:t>
      </w:r>
    </w:p>
    <w:p w14:paraId="1481AB33">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14.1.6第六章：</w:t>
      </w:r>
      <w:r>
        <w:rPr>
          <w:rFonts w:hint="eastAsia" w:ascii="宋体" w:hAnsi="宋体" w:cs="宋体"/>
          <w:bCs/>
          <w:color w:val="auto"/>
          <w:sz w:val="24"/>
          <w:highlight w:val="none"/>
        </w:rPr>
        <w:t>采购合同；</w:t>
      </w:r>
    </w:p>
    <w:p w14:paraId="4D918A7C">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14.1.7第七章：</w:t>
      </w:r>
      <w:r>
        <w:rPr>
          <w:rFonts w:hint="eastAsia" w:ascii="宋体" w:hAnsi="宋体" w:cs="宋体"/>
          <w:bCs/>
          <w:color w:val="auto"/>
          <w:sz w:val="24"/>
          <w:highlight w:val="none"/>
        </w:rPr>
        <w:t>投标文件格式；</w:t>
      </w:r>
    </w:p>
    <w:p w14:paraId="637A9169">
      <w:pPr>
        <w:spacing w:line="360" w:lineRule="auto"/>
        <w:ind w:firstLine="523" w:firstLineChars="218"/>
        <w:rPr>
          <w:rFonts w:hint="eastAsia" w:ascii="宋体" w:hAnsi="宋体" w:cs="宋体"/>
          <w:color w:val="auto"/>
          <w:sz w:val="24"/>
          <w:highlight w:val="none"/>
        </w:rPr>
      </w:pPr>
      <w:r>
        <w:rPr>
          <w:rFonts w:hint="eastAsia" w:ascii="宋体" w:hAnsi="宋体" w:cs="宋体"/>
          <w:bCs/>
          <w:color w:val="auto"/>
          <w:sz w:val="24"/>
          <w:highlight w:val="none"/>
        </w:rPr>
        <w:t>14.1.8周口市公共资源交易中心政府采购中心发布的</w:t>
      </w:r>
      <w:r>
        <w:rPr>
          <w:rFonts w:hint="eastAsia" w:ascii="宋体" w:hAnsi="宋体" w:cs="宋体"/>
          <w:color w:val="auto"/>
          <w:sz w:val="24"/>
          <w:highlight w:val="none"/>
        </w:rPr>
        <w:t>图纸、答疑、补遗、补充通知等。</w:t>
      </w:r>
    </w:p>
    <w:p w14:paraId="7029453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14.2 投标人应认真阅读招标文件中所有的事项、格式、条件、条款和规范等要求。</w:t>
      </w:r>
      <w:r>
        <w:rPr>
          <w:rFonts w:hint="eastAsia" w:ascii="宋体" w:hAnsi="宋体" w:cs="Times New Roman"/>
          <w:color w:val="auto"/>
          <w:sz w:val="24"/>
          <w:szCs w:val="20"/>
          <w:highlight w:val="none"/>
        </w:rPr>
        <w:t>如果有异议在规定的时间内提出，没有异议需做出“无异议”承诺，承诺书作为投标文件的组成部分，否则为无效投标。</w:t>
      </w:r>
    </w:p>
    <w:p w14:paraId="7A51CB5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14.3投标人应当按照招标文件的要求编制投标文件。投标文件应对招标文件提出的要求和条件作出实质性响应。</w:t>
      </w:r>
      <w:r>
        <w:rPr>
          <w:rFonts w:hint="eastAsia" w:ascii="宋体" w:hAnsi="宋体" w:cs="宋体"/>
          <w:color w:val="auto"/>
          <w:kern w:val="0"/>
          <w:sz w:val="24"/>
          <w:szCs w:val="22"/>
          <w:highlight w:val="none"/>
        </w:rPr>
        <w:t>按文件要求和规定顺序编制投标文件，并保证所提供全部资料的真实性，并在投标文件中附承诺书；</w:t>
      </w:r>
      <w:r>
        <w:rPr>
          <w:rFonts w:hint="eastAsia" w:ascii="宋体" w:hAnsi="宋体" w:cs="Times New Roman"/>
          <w:color w:val="auto"/>
          <w:kern w:val="0"/>
          <w:sz w:val="24"/>
          <w:szCs w:val="22"/>
          <w:highlight w:val="none"/>
          <w:lang w:eastAsia="zh-CN"/>
        </w:rPr>
        <w:t>投标人</w:t>
      </w:r>
      <w:r>
        <w:rPr>
          <w:rFonts w:hint="eastAsia" w:ascii="宋体" w:hAnsi="宋体" w:cs="Times New Roman"/>
          <w:color w:val="auto"/>
          <w:kern w:val="0"/>
          <w:sz w:val="24"/>
          <w:szCs w:val="22"/>
          <w:highlight w:val="none"/>
        </w:rPr>
        <w:t>提交的资料应证明其满足招标文件要求并在材料上面标注“与原件一致”字样，该文件包括资格材料、文字资料、图纸和数据等详细描述的资料,否则视为未响应招标文件。</w:t>
      </w:r>
    </w:p>
    <w:p w14:paraId="2EF2997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14.4投标人获取招标文件后，应仔细检查招标文件的所有内容，如有残缺等问题应在获得招标文件3日内向</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提出，否则，由此引起的损失由投标人自行承担。</w:t>
      </w:r>
    </w:p>
    <w:p w14:paraId="2BF5D0A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15.招标文件的澄清与修改</w:t>
      </w:r>
    </w:p>
    <w:p w14:paraId="10537F6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15.1</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通知所有获取招标文件的潜在投标人；不足15日的，采购人或者采购代理机构应当顺延提交投标文件的截止时间。投标人应主动上网查询。</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不承担投标人未及时关注相关信息引发的相关责任。</w:t>
      </w:r>
    </w:p>
    <w:p w14:paraId="6E4A4962">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15.2在投标截止时间前，</w:t>
      </w:r>
      <w:r>
        <w:rPr>
          <w:rFonts w:hint="eastAsia" w:ascii="宋体" w:hAnsi="宋体" w:cs="宋体"/>
          <w:bCs/>
          <w:color w:val="auto"/>
          <w:sz w:val="24"/>
          <w:highlight w:val="none"/>
        </w:rPr>
        <w:t>采购人</w:t>
      </w:r>
      <w:r>
        <w:rPr>
          <w:rFonts w:hint="eastAsia" w:ascii="宋体" w:hAnsi="宋体" w:cs="宋体"/>
          <w:color w:val="auto"/>
          <w:sz w:val="24"/>
          <w:highlight w:val="none"/>
        </w:rPr>
        <w:t>可以视采购具体情况，延长投标截止时间和开标时间，并在招标文件要求提交投标文件的截止时间三日前，在网站上发布变更公告。在上述情况下，</w:t>
      </w:r>
      <w:r>
        <w:rPr>
          <w:rFonts w:hint="eastAsia" w:ascii="宋体" w:hAnsi="宋体" w:cs="宋体"/>
          <w:bCs/>
          <w:color w:val="auto"/>
          <w:sz w:val="24"/>
          <w:highlight w:val="none"/>
        </w:rPr>
        <w:t>采购人</w:t>
      </w:r>
      <w:r>
        <w:rPr>
          <w:rFonts w:hint="eastAsia" w:ascii="宋体" w:hAnsi="宋体" w:cs="宋体"/>
          <w:color w:val="auto"/>
          <w:sz w:val="24"/>
          <w:highlight w:val="none"/>
        </w:rPr>
        <w:t>和投标人在投标截止期方面的全部权力、责任和义务，将适用于延长后新的投标截止期。</w:t>
      </w:r>
    </w:p>
    <w:p w14:paraId="32EE27B1">
      <w:pPr>
        <w:spacing w:line="360" w:lineRule="auto"/>
        <w:ind w:firstLine="550"/>
        <w:rPr>
          <w:rFonts w:hint="eastAsia" w:ascii="宋体" w:hAnsi="宋体" w:cs="宋体"/>
          <w:color w:val="auto"/>
          <w:sz w:val="28"/>
          <w:highlight w:val="none"/>
        </w:rPr>
      </w:pPr>
      <w:r>
        <w:rPr>
          <w:rFonts w:hint="eastAsia" w:ascii="宋体" w:hAnsi="宋体" w:cs="宋体"/>
          <w:color w:val="auto"/>
          <w:sz w:val="24"/>
          <w:highlight w:val="none"/>
        </w:rPr>
        <w:t>15.3特殊情况下，</w:t>
      </w:r>
      <w:r>
        <w:rPr>
          <w:rFonts w:hint="eastAsia" w:ascii="宋体" w:hAnsi="宋体" w:cs="宋体"/>
          <w:bCs/>
          <w:color w:val="auto"/>
          <w:sz w:val="24"/>
          <w:highlight w:val="none"/>
        </w:rPr>
        <w:t>采购人</w:t>
      </w:r>
      <w:r>
        <w:rPr>
          <w:rFonts w:hint="eastAsia" w:ascii="宋体" w:hAnsi="宋体" w:cs="宋体"/>
          <w:color w:val="auto"/>
          <w:sz w:val="24"/>
          <w:highlight w:val="none"/>
        </w:rPr>
        <w:t>发布澄清、更正或更改公告后，可不改变投标截止时间和开标时间。</w:t>
      </w:r>
    </w:p>
    <w:p w14:paraId="75758B23">
      <w:pPr>
        <w:pStyle w:val="5"/>
        <w:jc w:val="center"/>
        <w:rPr>
          <w:color w:val="auto"/>
          <w:highlight w:val="none"/>
        </w:rPr>
      </w:pPr>
      <w:r>
        <w:rPr>
          <w:rFonts w:hint="eastAsia"/>
          <w:color w:val="auto"/>
          <w:highlight w:val="none"/>
        </w:rPr>
        <w:t>三．投标文件的编制</w:t>
      </w:r>
    </w:p>
    <w:p w14:paraId="3967B5C0">
      <w:pPr>
        <w:spacing w:line="50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16.投标文件构成与格式</w:t>
      </w:r>
    </w:p>
    <w:p w14:paraId="5AB4604A">
      <w:pPr>
        <w:widowControl/>
        <w:spacing w:line="50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16.1投标文件是对招标文件的实质性响应及承诺文件。</w:t>
      </w:r>
    </w:p>
    <w:p w14:paraId="54DED30B">
      <w:pPr>
        <w:spacing w:line="360" w:lineRule="auto"/>
        <w:ind w:firstLine="480" w:firstLineChars="200"/>
        <w:jc w:val="left"/>
        <w:rPr>
          <w:rFonts w:hint="eastAsia" w:ascii="宋体" w:hAnsi="宋体" w:cs="宋体"/>
          <w:color w:val="auto"/>
          <w:sz w:val="24"/>
          <w:szCs w:val="20"/>
          <w:highlight w:val="none"/>
        </w:rPr>
      </w:pPr>
      <w:r>
        <w:rPr>
          <w:rFonts w:hint="eastAsia" w:ascii="宋体" w:hAnsi="宋体" w:cs="宋体"/>
          <w:color w:val="auto"/>
          <w:sz w:val="24"/>
          <w:highlight w:val="none"/>
        </w:rPr>
        <w:t>16.2</w:t>
      </w:r>
      <w:r>
        <w:rPr>
          <w:rFonts w:hint="eastAsia" w:ascii="宋体" w:hAnsi="宋体" w:cs="宋体"/>
          <w:bCs/>
          <w:color w:val="auto"/>
          <w:sz w:val="24"/>
          <w:highlight w:val="none"/>
        </w:rPr>
        <w:t>除非注明“投标人可自行制作格式”，投标文件应使用招标文件提供的格式。</w:t>
      </w:r>
      <w:r>
        <w:rPr>
          <w:rFonts w:hint="eastAsia" w:ascii="宋体" w:hAnsi="宋体" w:cs="宋体"/>
          <w:color w:val="auto"/>
          <w:sz w:val="24"/>
          <w:szCs w:val="20"/>
          <w:highlight w:val="none"/>
        </w:rPr>
        <w:t>投标人应按照</w:t>
      </w:r>
      <w:r>
        <w:rPr>
          <w:rFonts w:hint="eastAsia" w:ascii="Times New Roman" w:hAnsi="Times New Roman" w:cs="宋体"/>
          <w:color w:val="auto"/>
          <w:sz w:val="24"/>
          <w:szCs w:val="20"/>
          <w:highlight w:val="none"/>
        </w:rPr>
        <w:t>招标</w:t>
      </w:r>
      <w:r>
        <w:rPr>
          <w:rFonts w:hint="eastAsia" w:ascii="宋体" w:hAnsi="宋体" w:cs="宋体"/>
          <w:color w:val="auto"/>
          <w:sz w:val="24"/>
          <w:szCs w:val="20"/>
          <w:highlight w:val="none"/>
        </w:rPr>
        <w:t>文件提供的格式编写响应性文件，不得私自更改任何文件要求填写的表格格式。</w:t>
      </w:r>
    </w:p>
    <w:p w14:paraId="035336E0">
      <w:pPr>
        <w:spacing w:line="500" w:lineRule="exact"/>
        <w:ind w:firstLine="480" w:firstLineChars="200"/>
        <w:jc w:val="left"/>
        <w:rPr>
          <w:rFonts w:hint="eastAsia" w:ascii="宋体" w:hAnsi="宋体" w:cs="宋体"/>
          <w:color w:val="auto"/>
          <w:sz w:val="24"/>
          <w:highlight w:val="none"/>
        </w:rPr>
      </w:pPr>
      <w:r>
        <w:rPr>
          <w:rFonts w:hint="eastAsia" w:ascii="宋体" w:hAnsi="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A6CD5B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16.4除非招标文件另有规定，投标文件应使用中华人民共和国法定计量单位。</w:t>
      </w:r>
    </w:p>
    <w:p w14:paraId="2C508D8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2951502D">
      <w:pPr>
        <w:spacing w:line="360" w:lineRule="auto"/>
        <w:ind w:firstLine="550"/>
        <w:rPr>
          <w:rFonts w:hint="eastAsia" w:ascii="宋体" w:hAnsi="宋体" w:cs="宋体"/>
          <w:color w:val="auto"/>
          <w:sz w:val="24"/>
          <w:szCs w:val="20"/>
          <w:highlight w:val="none"/>
        </w:rPr>
      </w:pPr>
      <w:r>
        <w:rPr>
          <w:rFonts w:hint="eastAsia" w:ascii="宋体" w:hAnsi="宋体" w:cs="宋体"/>
          <w:color w:val="auto"/>
          <w:sz w:val="24"/>
          <w:highlight w:val="none"/>
        </w:rPr>
        <w:t>16.6投标文件应编制详细目录、页码和总页码，除特殊规格的图纸或方案、图片资料等外，均应按A4规格制作。</w:t>
      </w:r>
      <w:r>
        <w:rPr>
          <w:rFonts w:hint="eastAsia" w:ascii="宋体" w:hAnsi="宋体" w:cs="宋体"/>
          <w:color w:val="auto"/>
          <w:sz w:val="24"/>
          <w:szCs w:val="20"/>
          <w:highlight w:val="none"/>
        </w:rPr>
        <w:t>每个页面须在明显位置编制页码和总页码。</w:t>
      </w:r>
    </w:p>
    <w:p w14:paraId="2F7D9EAC">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16.7电报、电话、传真形式的投标概不接受。</w:t>
      </w:r>
    </w:p>
    <w:p w14:paraId="013CFB8A">
      <w:pPr>
        <w:spacing w:line="360" w:lineRule="auto"/>
        <w:ind w:firstLine="550"/>
        <w:rPr>
          <w:color w:val="auto"/>
          <w:highlight w:val="none"/>
        </w:rPr>
      </w:pPr>
      <w:r>
        <w:rPr>
          <w:rFonts w:hint="eastAsia" w:ascii="宋体" w:hAnsi="宋体" w:cs="宋体"/>
          <w:color w:val="auto"/>
          <w:sz w:val="24"/>
          <w:szCs w:val="20"/>
          <w:highlight w:val="none"/>
        </w:rPr>
        <w:t>16.8</w:t>
      </w:r>
      <w:r>
        <w:rPr>
          <w:rFonts w:hint="eastAsia" w:ascii="宋体" w:hAnsi="宋体" w:cs="宋体"/>
          <w:color w:val="auto"/>
          <w:sz w:val="24"/>
          <w:highlight w:val="none"/>
        </w:rPr>
        <w:t>法定代表人或负责人</w:t>
      </w:r>
      <w:r>
        <w:rPr>
          <w:rFonts w:hint="eastAsia" w:ascii="宋体" w:hAnsi="宋体" w:cs="宋体"/>
          <w:color w:val="auto"/>
          <w:sz w:val="24"/>
          <w:szCs w:val="20"/>
          <w:highlight w:val="none"/>
        </w:rPr>
        <w:t>授权委托书须有</w:t>
      </w:r>
      <w:r>
        <w:rPr>
          <w:rFonts w:hint="eastAsia" w:ascii="宋体" w:hAnsi="宋体" w:cs="宋体"/>
          <w:color w:val="auto"/>
          <w:sz w:val="24"/>
          <w:highlight w:val="none"/>
        </w:rPr>
        <w:t>法定代表人或负责人</w:t>
      </w:r>
      <w:r>
        <w:rPr>
          <w:rFonts w:hint="eastAsia" w:ascii="宋体" w:hAnsi="宋体" w:cs="宋体"/>
          <w:color w:val="auto"/>
          <w:sz w:val="24"/>
          <w:szCs w:val="20"/>
          <w:highlight w:val="none"/>
        </w:rPr>
        <w:t>签字。</w:t>
      </w:r>
    </w:p>
    <w:p w14:paraId="1B8A8273">
      <w:pPr>
        <w:spacing w:line="360" w:lineRule="auto"/>
        <w:ind w:firstLine="550"/>
        <w:rPr>
          <w:color w:val="auto"/>
          <w:highlight w:val="none"/>
        </w:rPr>
      </w:pPr>
      <w:r>
        <w:rPr>
          <w:rFonts w:hint="eastAsia" w:ascii="宋体" w:hAnsi="宋体" w:cs="宋体"/>
          <w:color w:val="auto"/>
          <w:sz w:val="24"/>
          <w:highlight w:val="none"/>
        </w:rPr>
        <w:t>16.9电子投标文件制作，见周口市公共资源交易中心网站下载中心版块《投标单位-电子投标文件视频制作手册》的相关规定。</w:t>
      </w:r>
    </w:p>
    <w:p w14:paraId="2BBB3ACA">
      <w:pPr>
        <w:spacing w:line="360" w:lineRule="auto"/>
        <w:ind w:firstLine="550"/>
        <w:rPr>
          <w:rFonts w:hint="eastAsia" w:ascii="宋体" w:hAnsi="宋体" w:cs="宋体"/>
          <w:color w:val="auto"/>
          <w:sz w:val="24"/>
          <w:highlight w:val="none"/>
        </w:rPr>
      </w:pPr>
      <w:r>
        <w:rPr>
          <w:rFonts w:hint="eastAsia" w:ascii="宋体" w:hAnsi="宋体" w:cs="宋体"/>
          <w:b/>
          <w:color w:val="auto"/>
          <w:sz w:val="24"/>
          <w:highlight w:val="none"/>
        </w:rPr>
        <w:t>17.报价</w:t>
      </w:r>
    </w:p>
    <w:p w14:paraId="48CB218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33D1F47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r>
        <w:rPr>
          <w:rFonts w:hint="eastAsia" w:ascii="宋体" w:hAnsi="宋体" w:cs="宋体"/>
          <w:color w:val="auto"/>
          <w:sz w:val="24"/>
          <w:szCs w:val="20"/>
          <w:highlight w:val="none"/>
        </w:rPr>
        <w:t>投标人应当在投标文件中列出完成本项目并通过验收所需的各项服务的明细及全部费用。投标人必须保证确保整体通过用户方及有关主管部门验收，所发生的验收费用由</w:t>
      </w:r>
      <w:r>
        <w:rPr>
          <w:rFonts w:hint="eastAsia" w:ascii="宋体" w:hAnsi="宋体" w:cs="宋体"/>
          <w:color w:val="auto"/>
          <w:sz w:val="24"/>
          <w:szCs w:val="20"/>
          <w:highlight w:val="none"/>
          <w:lang w:eastAsia="zh-CN"/>
        </w:rPr>
        <w:t>投标人</w:t>
      </w:r>
      <w:r>
        <w:rPr>
          <w:rFonts w:hint="eastAsia" w:ascii="宋体" w:hAnsi="宋体" w:cs="宋体"/>
          <w:color w:val="auto"/>
          <w:sz w:val="24"/>
          <w:szCs w:val="20"/>
          <w:highlight w:val="none"/>
        </w:rPr>
        <w:t>承担。</w:t>
      </w:r>
    </w:p>
    <w:p w14:paraId="189C9F9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17.3投标人应在投标文件中注明拟提供货物的单价明细和总价。</w:t>
      </w:r>
      <w:r>
        <w:rPr>
          <w:rFonts w:hint="eastAsia" w:ascii="Times New Roman" w:hAnsi="Times New Roman" w:cs="宋体"/>
          <w:color w:val="auto"/>
          <w:sz w:val="24"/>
          <w:szCs w:val="20"/>
          <w:highlight w:val="none"/>
        </w:rPr>
        <w:t>并在开标一览表最终投标报价处加盖公章。</w:t>
      </w:r>
    </w:p>
    <w:p w14:paraId="4BA2872B">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17.4除非招标文件另有规定，每一包只允许有一个最终报价，任何有选择的报价或替代方案将导致投标无效。</w:t>
      </w:r>
    </w:p>
    <w:p w14:paraId="3528626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17.5采购人不建议投标人采用总价优惠或以总价百分比优惠的方式进行投标报价，其优惠可直接计算并体现在各项投标报价的单价中。</w:t>
      </w:r>
    </w:p>
    <w:p w14:paraId="6952C9F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17.6除政策性文件规定以外，投标人所报价格在合同实施期间不因市场变化因素而变动。</w:t>
      </w:r>
    </w:p>
    <w:p w14:paraId="281B5224">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18.投标内容填写及说明</w:t>
      </w:r>
    </w:p>
    <w:p w14:paraId="3B2AEC25">
      <w:pPr>
        <w:spacing w:line="360" w:lineRule="auto"/>
        <w:ind w:firstLine="549"/>
        <w:rPr>
          <w:rFonts w:hint="eastAsia" w:ascii="宋体" w:hAnsi="宋体" w:cs="宋体"/>
          <w:color w:val="auto"/>
          <w:sz w:val="24"/>
          <w:highlight w:val="none"/>
          <w:u w:val="single"/>
        </w:rPr>
      </w:pPr>
      <w:r>
        <w:rPr>
          <w:rFonts w:hint="eastAsia" w:ascii="宋体" w:hAnsi="宋体" w:cs="宋体"/>
          <w:color w:val="auto"/>
          <w:sz w:val="24"/>
          <w:highlight w:val="none"/>
        </w:rPr>
        <w:t>18.1投标文件须对招标文件载明的投标资格、技术、资信、服务、报价等全部要求和条件做出实质性和完整的响应，</w:t>
      </w:r>
      <w:r>
        <w:rPr>
          <w:rFonts w:hint="eastAsia" w:ascii="宋体" w:hAnsi="宋体" w:cs="宋体"/>
          <w:color w:val="auto"/>
          <w:sz w:val="24"/>
          <w:szCs w:val="20"/>
          <w:highlight w:val="none"/>
        </w:rPr>
        <w:t>并对所提供的全部资料做出真实性、合法性承诺，否则其投标文件将作为无效标处理。</w:t>
      </w:r>
      <w:r>
        <w:rPr>
          <w:rFonts w:hint="eastAsia" w:ascii="宋体" w:hAnsi="宋体" w:cs="宋体"/>
          <w:color w:val="auto"/>
          <w:sz w:val="24"/>
          <w:highlight w:val="none"/>
        </w:rPr>
        <w:t>如果投标文件填报的内容资料不详，或没有提供招标文件中所要求的全部资料、证明及数据，将导致投标无效。</w:t>
      </w:r>
    </w:p>
    <w:p w14:paraId="78B222B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18.2投标人应在投标文件中提交招标文件要求的有关证明文件（扫描或影印件上传），作为其投标文件的一部分。</w:t>
      </w:r>
    </w:p>
    <w:p w14:paraId="64EA36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18.3投标人应在投标文件中提交（以扫描件或影印件上传）招标文件要求的所有服务的合格性以及符合招标文件规定的证明文件（可以是手册、图纸和资料）等，并作为其投标文件的一部分。包括：</w:t>
      </w:r>
    </w:p>
    <w:p w14:paraId="0834B26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18.3.1服务主要性能（内容）的详细描述；</w:t>
      </w:r>
    </w:p>
    <w:p w14:paraId="68ACF5BA">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18.3.2保证所投服务正常、安全、连续运行期间所需的所有备品、备件及专用工具的详细清单。</w:t>
      </w:r>
    </w:p>
    <w:p w14:paraId="4E5BD86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18.4投标文件应编排有序、内容齐全、不得任意涂改或增删。如有错漏处必须修改，应在修改处加盖投标人电子公章。</w:t>
      </w:r>
    </w:p>
    <w:p w14:paraId="3488EC16">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19.投标保证金（免收）</w:t>
      </w:r>
    </w:p>
    <w:p w14:paraId="03D5E296">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20.投标有效期</w:t>
      </w:r>
    </w:p>
    <w:p w14:paraId="3F6238C2">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20.1为保证采购人有足够的时间完成评标和与中标人签订合同，规定投标有效期。投标有效期期限见投标人须知前附表。</w:t>
      </w:r>
      <w:r>
        <w:rPr>
          <w:rFonts w:hint="eastAsia" w:ascii="宋体" w:hAnsi="宋体" w:cs="宋体"/>
          <w:color w:val="auto"/>
          <w:sz w:val="24"/>
          <w:highlight w:val="none"/>
          <w:lang w:val="en-US" w:eastAsia="zh-CN"/>
        </w:rPr>
        <w:t>中标</w:t>
      </w:r>
      <w:r>
        <w:rPr>
          <w:rFonts w:hint="eastAsia" w:ascii="宋体" w:hAnsi="宋体" w:cs="宋体"/>
          <w:color w:val="auto"/>
          <w:sz w:val="24"/>
          <w:szCs w:val="20"/>
          <w:highlight w:val="none"/>
        </w:rPr>
        <w:t>的投标文件其有效期应延续至合同执行结束，有效期短于这个规定期限的</w:t>
      </w:r>
      <w:r>
        <w:rPr>
          <w:rFonts w:hint="eastAsia" w:ascii="宋体" w:hAnsi="宋体" w:cs="宋体"/>
          <w:color w:val="auto"/>
          <w:sz w:val="24"/>
          <w:szCs w:val="20"/>
          <w:highlight w:val="none"/>
          <w:lang w:eastAsia="zh-CN"/>
        </w:rPr>
        <w:t>投标人</w:t>
      </w:r>
      <w:r>
        <w:rPr>
          <w:rFonts w:hint="eastAsia" w:ascii="宋体" w:hAnsi="宋体" w:cs="宋体"/>
          <w:color w:val="auto"/>
          <w:sz w:val="24"/>
          <w:szCs w:val="20"/>
          <w:highlight w:val="none"/>
        </w:rPr>
        <w:t>将被拒绝。</w:t>
      </w:r>
    </w:p>
    <w:p w14:paraId="3628410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20.2在投标有效期内，投标人的投标保持有效，投标人不得要求撤销或修改其投标文件。</w:t>
      </w:r>
    </w:p>
    <w:p w14:paraId="41532EC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20.3投标有效期从投标截止日起计算。</w:t>
      </w:r>
    </w:p>
    <w:p w14:paraId="2F36CA4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20.4在原定投标有效期满之前，如果出现特殊情况，</w:t>
      </w:r>
      <w:r>
        <w:rPr>
          <w:rFonts w:hint="eastAsia" w:ascii="宋体" w:hAnsi="宋体" w:cs="宋体"/>
          <w:bCs/>
          <w:color w:val="auto"/>
          <w:sz w:val="24"/>
          <w:highlight w:val="none"/>
        </w:rPr>
        <w:t>采购人</w:t>
      </w:r>
      <w:r>
        <w:rPr>
          <w:rFonts w:hint="eastAsia" w:ascii="宋体" w:hAnsi="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63FB1042">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21.投标文件份数和签署</w:t>
      </w:r>
    </w:p>
    <w:p w14:paraId="31ABA79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21.1 投标人应按照投标人须知前附表的要求准备投标文件。</w:t>
      </w:r>
    </w:p>
    <w:p w14:paraId="2149301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21.2投标文件均应按照招标文件要求加盖投标人电子签章，</w:t>
      </w:r>
      <w:r>
        <w:rPr>
          <w:rFonts w:hint="eastAsia" w:ascii="Times New Roman" w:hAnsi="Times New Roman" w:cs="Times New Roman"/>
          <w:color w:val="auto"/>
          <w:sz w:val="24"/>
          <w:highlight w:val="none"/>
        </w:rPr>
        <w:t>并需</w:t>
      </w:r>
      <w:r>
        <w:rPr>
          <w:rFonts w:hint="eastAsia" w:ascii="宋体" w:hAnsi="宋体" w:cs="宋体"/>
          <w:color w:val="auto"/>
          <w:sz w:val="24"/>
          <w:highlight w:val="none"/>
        </w:rPr>
        <w:t>投标人的法定代表人或负责人</w:t>
      </w:r>
      <w:r>
        <w:rPr>
          <w:rFonts w:hint="eastAsia" w:ascii="Times New Roman" w:hAnsi="Times New Roman" w:cs="Times New Roman"/>
          <w:color w:val="auto"/>
          <w:sz w:val="24"/>
          <w:highlight w:val="none"/>
        </w:rPr>
        <w:t>或委托代理人逐页签字盖章。</w:t>
      </w:r>
    </w:p>
    <w:p w14:paraId="0FC77D5D">
      <w:pPr>
        <w:pStyle w:val="5"/>
        <w:jc w:val="center"/>
        <w:rPr>
          <w:color w:val="auto"/>
          <w:highlight w:val="none"/>
        </w:rPr>
      </w:pPr>
      <w:r>
        <w:rPr>
          <w:rFonts w:hint="eastAsia"/>
          <w:color w:val="auto"/>
          <w:highlight w:val="none"/>
        </w:rPr>
        <w:t>四．投标文件的递交</w:t>
      </w:r>
    </w:p>
    <w:p w14:paraId="73210E6E">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22.投标文件的密封和标记</w:t>
      </w:r>
    </w:p>
    <w:p w14:paraId="5633944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加密的电子投标文件的递交，见周口市公共资源交易中心网站下载中心版块《投标单位-电子投标文件视频制作手册》的相关规定。</w:t>
      </w:r>
    </w:p>
    <w:p w14:paraId="13CBA363">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 xml:space="preserve">23.投标文件的递交 </w:t>
      </w:r>
    </w:p>
    <w:p w14:paraId="0647C6A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23.1投标人应当在招标文件要求提交投标文件的截止时间前网上投标。</w:t>
      </w:r>
    </w:p>
    <w:p w14:paraId="0A9D15F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23.2在招标文件要求提交投标文件的截止时间之后制作上传的投标文件为无效投标文件，</w:t>
      </w:r>
      <w:r>
        <w:rPr>
          <w:rFonts w:hint="eastAsia" w:ascii="宋体" w:hAnsi="宋体" w:cs="宋体"/>
          <w:bCs/>
          <w:color w:val="auto"/>
          <w:sz w:val="24"/>
          <w:highlight w:val="none"/>
        </w:rPr>
        <w:t>采购人</w:t>
      </w:r>
      <w:r>
        <w:rPr>
          <w:rFonts w:hint="eastAsia" w:ascii="宋体" w:hAnsi="宋体" w:cs="宋体"/>
          <w:color w:val="auto"/>
          <w:sz w:val="24"/>
          <w:highlight w:val="none"/>
        </w:rPr>
        <w:t>将拒绝接收。</w:t>
      </w:r>
    </w:p>
    <w:p w14:paraId="47616785">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24.投标文件的修改和撤回</w:t>
      </w:r>
    </w:p>
    <w:p w14:paraId="7ECD46A2">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投标截止日期前，投标人可以修改或撤回其投标文件；在投标截止时间后，投标人不得再要求修改或撤回其投标文件。</w:t>
      </w:r>
    </w:p>
    <w:p w14:paraId="241BB595">
      <w:pPr>
        <w:pStyle w:val="5"/>
        <w:jc w:val="center"/>
        <w:rPr>
          <w:color w:val="auto"/>
          <w:highlight w:val="none"/>
        </w:rPr>
      </w:pPr>
      <w:r>
        <w:rPr>
          <w:rFonts w:hint="eastAsia"/>
          <w:color w:val="auto"/>
          <w:highlight w:val="none"/>
        </w:rPr>
        <w:t>五．开标与评标</w:t>
      </w:r>
    </w:p>
    <w:p w14:paraId="5611CB00">
      <w:pPr>
        <w:snapToGrid w:val="0"/>
        <w:spacing w:line="30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25.开标</w:t>
      </w:r>
    </w:p>
    <w:p w14:paraId="03A5AFD9">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25.1本项目实行网上远程开标无须到现场提交投标文件。投标文件提交及解密详见周口市公共资源交易中心网</w:t>
      </w:r>
      <w:r>
        <w:rPr>
          <w:rFonts w:hint="eastAsia" w:hAnsi="宋体" w:cs="宋体"/>
          <w:color w:val="auto"/>
          <w:sz w:val="24"/>
          <w:highlight w:val="none"/>
        </w:rPr>
        <w:t>办事指南</w:t>
      </w:r>
      <w:r>
        <w:rPr>
          <w:rFonts w:hint="eastAsia" w:ascii="宋体" w:hAnsi="宋体" w:cs="宋体"/>
          <w:bCs/>
          <w:color w:val="auto"/>
          <w:sz w:val="24"/>
          <w:highlight w:val="none"/>
        </w:rPr>
        <w:t>《不见面开标远程在线解密会员端操作手册操作指南》。</w:t>
      </w:r>
    </w:p>
    <w:p w14:paraId="0657BA14">
      <w:pPr>
        <w:spacing w:line="360" w:lineRule="auto"/>
        <w:ind w:firstLine="549"/>
        <w:jc w:val="left"/>
        <w:rPr>
          <w:rFonts w:hint="eastAsia" w:ascii="宋体" w:hAnsi="宋体" w:cs="宋体"/>
          <w:bCs/>
          <w:color w:val="auto"/>
          <w:sz w:val="24"/>
          <w:highlight w:val="none"/>
        </w:rPr>
      </w:pPr>
      <w:r>
        <w:rPr>
          <w:rFonts w:hint="eastAsia" w:ascii="宋体" w:hAnsi="宋体" w:cs="宋体"/>
          <w:bCs/>
          <w:color w:val="auto"/>
          <w:sz w:val="24"/>
          <w:highlight w:val="none"/>
        </w:rPr>
        <w:t>25.2开标时，各投标单位应在规定时间内对本单位的投标文件进行网上电子解密。在解密投标文件开始时30分钟内进行解密，超时视为自动放弃递交投标文件。</w:t>
      </w:r>
    </w:p>
    <w:p w14:paraId="6E8A451D">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25.3投标资格及投标文件的法律文本将由评审委员会在评标前进行审查。资格不符合招标文件要求和相关法律规定的，投标无效。</w:t>
      </w:r>
    </w:p>
    <w:p w14:paraId="498A5E0C">
      <w:pPr>
        <w:spacing w:line="360" w:lineRule="auto"/>
        <w:ind w:firstLine="549"/>
        <w:rPr>
          <w:color w:val="auto"/>
          <w:highlight w:val="none"/>
        </w:rPr>
      </w:pPr>
      <w:r>
        <w:rPr>
          <w:rFonts w:hint="eastAsia" w:ascii="宋体" w:hAnsi="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5C46DD95">
      <w:pPr>
        <w:spacing w:line="360" w:lineRule="auto"/>
        <w:ind w:firstLine="549"/>
        <w:jc w:val="left"/>
        <w:rPr>
          <w:rFonts w:hint="eastAsia" w:ascii="宋体" w:hAnsi="宋体" w:cs="宋体"/>
          <w:b/>
          <w:color w:val="auto"/>
          <w:sz w:val="24"/>
          <w:highlight w:val="none"/>
        </w:rPr>
      </w:pPr>
      <w:r>
        <w:rPr>
          <w:rFonts w:hint="eastAsia" w:ascii="宋体" w:hAnsi="宋体" w:cs="宋体"/>
          <w:b/>
          <w:color w:val="auto"/>
          <w:sz w:val="24"/>
          <w:highlight w:val="none"/>
        </w:rPr>
        <w:t>26.投标文件的澄清、说明或补正</w:t>
      </w:r>
    </w:p>
    <w:p w14:paraId="25AF743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57097E8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2248BFA4">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开标一览表内容与投标文件中明细表内容不一致的，以开标一览表为准。</w:t>
      </w:r>
    </w:p>
    <w:p w14:paraId="5BECB6F1">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26.4 如同时出现26.2条和26.3条所述的不一致情况，以开标一览表为准。</w:t>
      </w:r>
    </w:p>
    <w:p w14:paraId="23331684">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27.评标</w:t>
      </w:r>
    </w:p>
    <w:p w14:paraId="79F38D0F">
      <w:pPr>
        <w:spacing w:line="360" w:lineRule="auto"/>
        <w:ind w:firstLine="523" w:firstLineChars="218"/>
        <w:rPr>
          <w:rFonts w:hint="eastAsia" w:ascii="宋体" w:hAnsi="宋体" w:cs="宋体"/>
          <w:b/>
          <w:color w:val="auto"/>
          <w:sz w:val="24"/>
          <w:highlight w:val="none"/>
        </w:rPr>
      </w:pPr>
      <w:r>
        <w:rPr>
          <w:rFonts w:hint="eastAsia" w:ascii="宋体" w:hAnsi="宋体" w:cs="宋体"/>
          <w:color w:val="auto"/>
          <w:sz w:val="24"/>
          <w:highlight w:val="none"/>
        </w:rPr>
        <w:t>27.1 评委会将按照招标文件规定的评标办法对投标人独立进行投标评审。投标评审分为符合性审查和综合评分。</w:t>
      </w:r>
    </w:p>
    <w:p w14:paraId="0F7760C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71C7799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有下列情形之一的，评标委员会应当否决其投标：</w:t>
      </w:r>
    </w:p>
    <w:p w14:paraId="0C909FE0">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27.2.1投标文件未经投标单位电子签章的；</w:t>
      </w:r>
    </w:p>
    <w:p w14:paraId="23521E5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27.2.2投标联合体未提交共同投标协议的；</w:t>
      </w:r>
    </w:p>
    <w:p w14:paraId="20626112">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27.2.3 投标人不符合国家或者招标文件规定的资格条件；</w:t>
      </w:r>
    </w:p>
    <w:p w14:paraId="7932C03C">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 xml:space="preserve">27.2.4同一投标人提交两个以上不同的投标文件或者投标报价，但招标文件要求提交备选投标的除外； </w:t>
      </w:r>
    </w:p>
    <w:p w14:paraId="2B05AFB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 xml:space="preserve">27.2.5投标报价高于招标文件设定的最高投标限价； </w:t>
      </w:r>
    </w:p>
    <w:p w14:paraId="1431D060">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27.2.6投标文件没有对招标文件的实质性要求和条件作出响应的；</w:t>
      </w:r>
    </w:p>
    <w:p w14:paraId="5613B9C2">
      <w:pPr>
        <w:spacing w:line="360" w:lineRule="auto"/>
        <w:ind w:firstLine="549"/>
        <w:rPr>
          <w:color w:val="auto"/>
          <w:highlight w:val="none"/>
        </w:rPr>
      </w:pPr>
      <w:r>
        <w:rPr>
          <w:rFonts w:hint="eastAsia" w:ascii="宋体" w:hAnsi="宋体" w:cs="宋体"/>
          <w:color w:val="auto"/>
          <w:sz w:val="24"/>
          <w:szCs w:val="20"/>
          <w:highlight w:val="none"/>
        </w:rPr>
        <w:t>27.2.7投标人的投标文件中未附“廉洁自律承诺书”的；</w:t>
      </w:r>
    </w:p>
    <w:p w14:paraId="4DCA1ADF">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27.2.8投标人有串通投标、弄虚作假、行贿等违法行为的；</w:t>
      </w:r>
    </w:p>
    <w:p w14:paraId="5D75BD3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27.2.9投标文件中未提供授权委托人劳务合同和社保证明的；</w:t>
      </w:r>
    </w:p>
    <w:p w14:paraId="08E8EFE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27.2.10不同投标人在同一台计算机上制作投标文件的；</w:t>
      </w:r>
    </w:p>
    <w:p w14:paraId="6B4738B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27.3如果投标文件未通过投标符合性审查，投标无效。</w:t>
      </w:r>
    </w:p>
    <w:p w14:paraId="2658BF1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27.4评委会决定投标文件的响应性及符合性只根据投标文件本身的内容，不寻求其他外部证据。</w:t>
      </w:r>
    </w:p>
    <w:p w14:paraId="35A7CF1D">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28</w:t>
      </w:r>
      <w:r>
        <w:rPr>
          <w:rFonts w:hint="eastAsia" w:ascii="宋体" w:hAnsi="宋体" w:cs="宋体"/>
          <w:b/>
          <w:color w:val="auto"/>
          <w:sz w:val="24"/>
          <w:highlight w:val="none"/>
        </w:rPr>
        <w:t>.</w:t>
      </w:r>
      <w:r>
        <w:rPr>
          <w:rFonts w:hint="eastAsia" w:ascii="宋体" w:hAnsi="宋体" w:cs="宋体"/>
          <w:b/>
          <w:bCs/>
          <w:color w:val="auto"/>
          <w:sz w:val="24"/>
          <w:highlight w:val="none"/>
        </w:rPr>
        <w:t>废标处理</w:t>
      </w:r>
    </w:p>
    <w:p w14:paraId="01C16BB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28.1在招标采购中，出现下列情形之一的，周口市公共资源交易中心政府采购中心有权宣布废标：</w:t>
      </w:r>
    </w:p>
    <w:p w14:paraId="744F3A8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28.1.1符合专业条件的投标人或对招标文件作实质响应的投标人不足三家的；</w:t>
      </w:r>
    </w:p>
    <w:p w14:paraId="1E862DF6">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28.1.2投标人的报价均超过采购预算，采购人不能支付的；</w:t>
      </w:r>
    </w:p>
    <w:p w14:paraId="1C9DEECA">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28.1.3出现影响采购公正的违法、违规行为的；</w:t>
      </w:r>
    </w:p>
    <w:p w14:paraId="71DE8C9A">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28.1.4因重大变故，采购任务取消的。</w:t>
      </w:r>
    </w:p>
    <w:p w14:paraId="01C4EC4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废标后，周口市公共资源交易中心政府采购中心会把废标理由通知所有投标人。</w:t>
      </w:r>
    </w:p>
    <w:p w14:paraId="7AA83A4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22D0864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28.2.1放弃参加投标的；</w:t>
      </w:r>
    </w:p>
    <w:p w14:paraId="34BBD2C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28.2.2未经周口市公共资源交易中心政府采购中心允许，离开开标现场通知不上的；</w:t>
      </w:r>
    </w:p>
    <w:p w14:paraId="249190E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28.2.3不符合招标文件列明的专业条件的；</w:t>
      </w:r>
    </w:p>
    <w:p w14:paraId="7F70D6B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28.2.4未按规定交纳谈判保证金的；</w:t>
      </w:r>
    </w:p>
    <w:p w14:paraId="26EB154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28.2.5有影响采购公正的违法、违规行为造成项目废标的；</w:t>
      </w:r>
    </w:p>
    <w:p w14:paraId="239C587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28.2.6其他不符合竞争性谈判条件的情况。</w:t>
      </w:r>
    </w:p>
    <w:p w14:paraId="3FFB1AA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28.3采购方式现场改为竞争性谈判时，周口市公共资源交易中心政府采购中心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1F3B87A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49D0414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28.3.2投标文件的报价视为谈判时的首次报价，未唱标转谈判的，谈判时不公开投标人各轮报价。已经唱标而转谈判的，谈判前公布各参与谈判的投标人首轮报价。</w:t>
      </w:r>
    </w:p>
    <w:p w14:paraId="5565F7D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28.3.3在谈判内容不作实质性变更及重大调整的前提下，投标人次轮报价不得高于上一轮报价。</w:t>
      </w:r>
    </w:p>
    <w:p w14:paraId="43E10CC1">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29</w:t>
      </w:r>
      <w:r>
        <w:rPr>
          <w:rFonts w:hint="eastAsia" w:ascii="宋体" w:hAnsi="宋体" w:cs="宋体"/>
          <w:b/>
          <w:color w:val="auto"/>
          <w:sz w:val="24"/>
          <w:highlight w:val="none"/>
        </w:rPr>
        <w:t>.</w:t>
      </w:r>
      <w:r>
        <w:rPr>
          <w:rFonts w:hint="eastAsia" w:ascii="宋体" w:hAnsi="宋体" w:cs="宋体"/>
          <w:b/>
          <w:bCs/>
          <w:color w:val="auto"/>
          <w:sz w:val="24"/>
          <w:highlight w:val="none"/>
        </w:rPr>
        <w:t>二次采购</w:t>
      </w:r>
    </w:p>
    <w:p w14:paraId="2BB31D4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项目废标后，周口市公共资源交易中心政府采购中心可能发布二次公告（投标邀请），进行二次采购。</w:t>
      </w:r>
    </w:p>
    <w:p w14:paraId="1178275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前款所述“二次”，系指项目废标后的重新公告及采购，并不仅限于项目的第二次公告及采购。</w:t>
      </w:r>
    </w:p>
    <w:p w14:paraId="4989B43B">
      <w:pPr>
        <w:pStyle w:val="5"/>
        <w:jc w:val="center"/>
        <w:rPr>
          <w:color w:val="auto"/>
          <w:highlight w:val="none"/>
        </w:rPr>
      </w:pPr>
      <w:r>
        <w:rPr>
          <w:rFonts w:hint="eastAsia"/>
          <w:color w:val="auto"/>
          <w:highlight w:val="none"/>
        </w:rPr>
        <w:t>六．定标与签订合同</w:t>
      </w:r>
    </w:p>
    <w:p w14:paraId="42D418CB">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30.定标</w:t>
      </w:r>
    </w:p>
    <w:p w14:paraId="5DC80A0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30.1 投标符合性审查后，评委会应当按招标文件规定的综合评分办法提出独立评审意见，推荐中标候选人。</w:t>
      </w:r>
    </w:p>
    <w:p w14:paraId="5E355FB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30.2采购人应当自收到评审报告之日起5个工作日内在评审报告推荐的中标或者成交候选人中按顺序确定中标或者成交</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w:t>
      </w:r>
    </w:p>
    <w:p w14:paraId="40A50F7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30.3如采购人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1750613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01AD576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30.4原则上把合同授予实质上响应招标文件要求的排名最前的中标候选人或通过上条资格审查的中标候选人。</w:t>
      </w:r>
    </w:p>
    <w:p w14:paraId="71FF435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30.5 最低报价并不是中标的保证。</w:t>
      </w:r>
    </w:p>
    <w:p w14:paraId="68C7458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30.6凡发现中标候选人有下列行为之一的，其中标无效，并移交政府采购监督管理部门依法处理：</w:t>
      </w:r>
    </w:p>
    <w:p w14:paraId="3FC37CF3">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 以他人名义投标、或提供虚假材料弄虚作假谋取中标的；</w:t>
      </w:r>
    </w:p>
    <w:p w14:paraId="499D4A7F">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30.6.1.1以他人名义投标，是指使用通过受让或者租借等方式获取的资格、资质证书投标。</w:t>
      </w:r>
    </w:p>
    <w:p w14:paraId="323FCA45">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30.6.1.2有投标人有下列情形之一的，属于弄虚作假的行为：</w:t>
      </w:r>
    </w:p>
    <w:p w14:paraId="543F94A1">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30.6.1.2.1使用伪造、变造的许可证件；</w:t>
      </w:r>
    </w:p>
    <w:p w14:paraId="2635BCFB">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30.6.1.2.2提供虚假的财务状况或者业绩；</w:t>
      </w:r>
    </w:p>
    <w:p w14:paraId="769FB083">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30.6.1.2.3提供虚假的项目负责人或者主要技术人员简历、劳动关系证明；</w:t>
      </w:r>
    </w:p>
    <w:p w14:paraId="67438ECB">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30.6.1.2.4提供虚假的信用状况；</w:t>
      </w:r>
    </w:p>
    <w:p w14:paraId="25C9EFAB">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30.6.1.2.5其他弄虚作假的行为。</w:t>
      </w:r>
    </w:p>
    <w:p w14:paraId="4EFC3881">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30.6.2与采购人、其他</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或者采购代理机构名称工作人员恶意串通的；</w:t>
      </w:r>
    </w:p>
    <w:p w14:paraId="3D108E58">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30.6.3向采购人、评审专家、采购代理机构工作人员行贿或者提供其他不正当利益的；</w:t>
      </w:r>
    </w:p>
    <w:p w14:paraId="3F31ABD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30.6.4有法律、法规规定的其他损害采购人利益和社会公共利益情形的；</w:t>
      </w:r>
    </w:p>
    <w:p w14:paraId="6F9B650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30.6.5其他违反招投标法律、法规和规章强制性规定的行为。</w:t>
      </w:r>
    </w:p>
    <w:p w14:paraId="378071C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30.7周口市公共资源交易中心政府采购中心将在政府采购相关网站上发布评审结果公告。</w:t>
      </w:r>
    </w:p>
    <w:p w14:paraId="559A8370">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31.中标通知书</w:t>
      </w:r>
    </w:p>
    <w:p w14:paraId="23B141D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31.1在发出中标公告后请采购人、中标人登录周口市公共资源交易中心网（http://jyzx.zhoukou.gov.cn）自行下载中标通知书。</w:t>
      </w:r>
    </w:p>
    <w:p w14:paraId="6237D35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31.2周口市公共资源交易中心政府采购中心对未中标的投标人不做未中标原因的解释。</w:t>
      </w:r>
    </w:p>
    <w:p w14:paraId="12B44CB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31.3评审结果确定后，中标人请及时到周口市公共资源交易中心政府采购中心领取中标通知书。</w:t>
      </w:r>
    </w:p>
    <w:p w14:paraId="29F099BF">
      <w:pPr>
        <w:spacing w:line="360" w:lineRule="auto"/>
        <w:ind w:firstLine="549"/>
        <w:rPr>
          <w:rFonts w:hint="eastAsia" w:ascii="宋体" w:hAnsi="宋体" w:cs="宋体"/>
          <w:color w:val="auto"/>
          <w:sz w:val="24"/>
          <w:szCs w:val="22"/>
          <w:highlight w:val="none"/>
        </w:rPr>
      </w:pPr>
      <w:r>
        <w:rPr>
          <w:rFonts w:hint="eastAsia" w:ascii="宋体" w:hAnsi="宋体" w:cs="宋体"/>
          <w:color w:val="auto"/>
          <w:sz w:val="24"/>
          <w:szCs w:val="22"/>
          <w:highlight w:val="none"/>
        </w:rPr>
        <w:t>32.中标服务费</w:t>
      </w:r>
    </w:p>
    <w:p w14:paraId="0E46F8E0">
      <w:pPr>
        <w:spacing w:line="360" w:lineRule="auto"/>
        <w:rPr>
          <w:rFonts w:hint="eastAsia" w:ascii="宋体" w:hAnsi="宋体" w:cs="宋体"/>
          <w:bCs/>
          <w:color w:val="auto"/>
          <w:sz w:val="24"/>
          <w:highlight w:val="none"/>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本项目免收中标服务费。</w:t>
      </w:r>
    </w:p>
    <w:p w14:paraId="53C65D99">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33.履约保证金</w:t>
      </w:r>
    </w:p>
    <w:p w14:paraId="7C01A79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无。</w:t>
      </w:r>
    </w:p>
    <w:p w14:paraId="668688F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34.签订合同</w:t>
      </w:r>
    </w:p>
    <w:p w14:paraId="52407DF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34.1</w:t>
      </w:r>
      <w:r>
        <w:rPr>
          <w:rFonts w:hint="eastAsia" w:ascii="宋体" w:hAnsi="宋体" w:cs="宋体"/>
          <w:color w:val="auto"/>
          <w:sz w:val="24"/>
          <w:szCs w:val="20"/>
          <w:highlight w:val="none"/>
        </w:rPr>
        <w:t>因项目要求期紧，采购人通知领取中标通知书的当天，中标人必须进行领取，并尽快联系采购人签订合同，投标人对此项内容需做出承诺，否则为无效投标文件。中标人应按照中标通知书规定的时间与采购人签订合同，否则给采购人造成损失的，中标人还应承担赔偿责任。招标文件、中标</w:t>
      </w:r>
      <w:r>
        <w:rPr>
          <w:rFonts w:hint="eastAsia" w:ascii="宋体" w:hAnsi="宋体" w:cs="宋体"/>
          <w:color w:val="auto"/>
          <w:sz w:val="24"/>
          <w:szCs w:val="20"/>
          <w:highlight w:val="none"/>
          <w:lang w:eastAsia="zh-CN"/>
        </w:rPr>
        <w:t>投标人</w:t>
      </w:r>
      <w:r>
        <w:rPr>
          <w:rFonts w:hint="eastAsia" w:ascii="宋体" w:hAnsi="宋体" w:cs="宋体"/>
          <w:color w:val="auto"/>
          <w:sz w:val="24"/>
          <w:szCs w:val="20"/>
          <w:highlight w:val="none"/>
        </w:rPr>
        <w:t>的投标文件及澄清文件等，均作为合同的附件。</w:t>
      </w:r>
    </w:p>
    <w:p w14:paraId="0F2D1C3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50A109C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34.3采购人保留以书面形式要求合同的卖方对其所投服务的装运方式、交货地点及服务细则等作适当调整的权利。</w:t>
      </w:r>
    </w:p>
    <w:p w14:paraId="4D010B48">
      <w:pPr>
        <w:spacing w:line="360" w:lineRule="auto"/>
        <w:ind w:firstLine="549"/>
        <w:rPr>
          <w:rFonts w:hint="eastAsia" w:ascii="宋体" w:hAnsi="宋体" w:cs="宋体"/>
          <w:color w:val="auto"/>
          <w:sz w:val="24"/>
          <w:highlight w:val="none"/>
        </w:rPr>
      </w:pPr>
      <w:r>
        <w:rPr>
          <w:rFonts w:hint="eastAsia" w:ascii="宋体" w:hAnsi="宋体" w:cs="宋体"/>
          <w:b/>
          <w:color w:val="auto"/>
          <w:sz w:val="24"/>
          <w:highlight w:val="none"/>
        </w:rPr>
        <w:t>35.验收</w:t>
      </w:r>
    </w:p>
    <w:p w14:paraId="3C1AA9E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由采购人自行组织对</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的履约验收。</w:t>
      </w:r>
    </w:p>
    <w:p w14:paraId="65F45669">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36</w:t>
      </w:r>
      <w:r>
        <w:rPr>
          <w:rFonts w:hint="eastAsia" w:ascii="宋体" w:hAnsi="宋体" w:cs="宋体"/>
          <w:b/>
          <w:color w:val="auto"/>
          <w:sz w:val="24"/>
          <w:highlight w:val="none"/>
        </w:rPr>
        <w:t>.</w:t>
      </w:r>
      <w:r>
        <w:rPr>
          <w:rFonts w:hint="eastAsia" w:ascii="宋体" w:hAnsi="宋体" w:cs="宋体"/>
          <w:b/>
          <w:bCs/>
          <w:color w:val="auto"/>
          <w:sz w:val="24"/>
          <w:highlight w:val="none"/>
        </w:rPr>
        <w:t>质疑</w:t>
      </w:r>
    </w:p>
    <w:p w14:paraId="69A3D807">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36.1投标人认为采购过程、中标结果使自己的合法权益受到损害的，可以在知道或应当知道自己的权益受到损害之日起7个工作日内，由投标人授权代表（或法定代表人）按照相关规定，向</w:t>
      </w:r>
      <w:r>
        <w:rPr>
          <w:rFonts w:hint="eastAsia" w:ascii="宋体" w:hAnsi="宋体" w:cs="宋体"/>
          <w:color w:val="auto"/>
          <w:sz w:val="24"/>
          <w:highlight w:val="none"/>
        </w:rPr>
        <w:t>采购人一次性</w:t>
      </w:r>
      <w:r>
        <w:rPr>
          <w:rFonts w:hint="eastAsia" w:ascii="宋体" w:hAnsi="宋体" w:cs="宋体"/>
          <w:bCs/>
          <w:color w:val="auto"/>
          <w:sz w:val="24"/>
          <w:highlight w:val="none"/>
        </w:rPr>
        <w:t>提出书面质疑，逾期不予受理。</w:t>
      </w:r>
    </w:p>
    <w:p w14:paraId="4DA3753C">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36.2质疑书内容应包括质疑的详细理由和依据，并提供有关证明资料。</w:t>
      </w:r>
    </w:p>
    <w:p w14:paraId="12D55FD5">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36.3 有以下情形之一的，视为无效质疑：</w:t>
      </w:r>
    </w:p>
    <w:p w14:paraId="1ECA2A79">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36.3.1 未按规定时间或规定手续提交质疑的；</w:t>
      </w:r>
    </w:p>
    <w:p w14:paraId="4CCC315C">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36.3.2 质疑内容含糊不清、没有提供详细理由和依据，无法进行核查的；</w:t>
      </w:r>
    </w:p>
    <w:p w14:paraId="508E624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36.3.3 其他不符合质疑程序和有关规定的。</w:t>
      </w:r>
    </w:p>
    <w:p w14:paraId="015C043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被判定无效质疑的，采购人将书面回复投标单位其质疑无效的理由，并记录无效质疑一次。</w:t>
      </w:r>
    </w:p>
    <w:p w14:paraId="4219CEED">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36.4</w:t>
      </w:r>
      <w:r>
        <w:rPr>
          <w:rFonts w:hint="eastAsia" w:ascii="宋体" w:hAnsi="宋体" w:cs="宋体"/>
          <w:color w:val="auto"/>
          <w:sz w:val="24"/>
          <w:highlight w:val="none"/>
        </w:rPr>
        <w:t>采购人</w:t>
      </w:r>
      <w:r>
        <w:rPr>
          <w:rFonts w:hint="eastAsia" w:ascii="宋体" w:hAnsi="宋体" w:cs="宋体"/>
          <w:bCs/>
          <w:color w:val="auto"/>
          <w:sz w:val="24"/>
          <w:highlight w:val="none"/>
        </w:rPr>
        <w:t>将在受到书面质疑后7个工作日内审查质疑事项，作出答复或相关处理决定，并以书面形式通知质疑人，但答复的内容不涉及商业秘密。</w:t>
      </w:r>
    </w:p>
    <w:p w14:paraId="73242EFD">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36.5</w:t>
      </w:r>
      <w:r>
        <w:rPr>
          <w:rFonts w:hint="eastAsia" w:ascii="宋体" w:hAnsi="宋体" w:cs="宋体"/>
          <w:bCs/>
          <w:color w:val="auto"/>
          <w:sz w:val="24"/>
          <w:highlight w:val="none"/>
        </w:rPr>
        <w:t>投诉人有下列情形之一的，属于虚假、恶意投诉，</w:t>
      </w:r>
      <w:r>
        <w:rPr>
          <w:rFonts w:hint="eastAsia" w:ascii="宋体" w:hAnsi="宋体" w:cs="宋体"/>
          <w:color w:val="auto"/>
          <w:sz w:val="24"/>
          <w:highlight w:val="none"/>
        </w:rPr>
        <w:t>政府采购监督管理部门</w:t>
      </w:r>
      <w:r>
        <w:rPr>
          <w:rFonts w:hint="eastAsia" w:ascii="宋体" w:hAnsi="宋体" w:cs="宋体"/>
          <w:bCs/>
          <w:color w:val="auto"/>
          <w:sz w:val="24"/>
          <w:highlight w:val="none"/>
        </w:rPr>
        <w:t>将驳回投诉，将其列入不良行为记录名单，并依法予以处罚：</w:t>
      </w:r>
    </w:p>
    <w:p w14:paraId="4E2BA3DC">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36.5.1一年内三次以上投诉均查无实据的；</w:t>
      </w:r>
    </w:p>
    <w:p w14:paraId="7B3A03D0">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36.5.2捏造事实、提供虚假投诉材料或提供以非法手段取得的证明材料质疑的；</w:t>
      </w:r>
    </w:p>
    <w:p w14:paraId="7BB13B0B">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36.5.3其他经认定属于虚假、恶意投诉的行为</w:t>
      </w:r>
      <w:r>
        <w:rPr>
          <w:rFonts w:hint="eastAsia" w:ascii="宋体" w:hAnsi="宋体" w:cs="宋体"/>
          <w:bCs/>
          <w:color w:val="auto"/>
          <w:sz w:val="24"/>
          <w:highlight w:val="none"/>
        </w:rPr>
        <w:t>。</w:t>
      </w:r>
    </w:p>
    <w:p w14:paraId="59331832">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37.未尽事宜</w:t>
      </w:r>
    </w:p>
    <w:p w14:paraId="1834121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37.1按《中华人民共和国政府采购法》及其他有关法律法规的规定执行。</w:t>
      </w:r>
    </w:p>
    <w:p w14:paraId="20A7446B">
      <w:pPr>
        <w:spacing w:line="360" w:lineRule="auto"/>
        <w:ind w:firstLine="549"/>
        <w:rPr>
          <w:rFonts w:hint="eastAsia" w:ascii="宋体" w:hAnsi="宋体" w:cs="宋体"/>
          <w:bCs/>
          <w:color w:val="auto"/>
          <w:sz w:val="24"/>
          <w:highlight w:val="none"/>
        </w:rPr>
      </w:pPr>
      <w:r>
        <w:rPr>
          <w:rFonts w:hint="eastAsia" w:ascii="宋体" w:hAnsi="宋体" w:cs="宋体"/>
          <w:b/>
          <w:color w:val="auto"/>
          <w:sz w:val="24"/>
          <w:highlight w:val="none"/>
        </w:rPr>
        <w:t>38.解释权</w:t>
      </w:r>
    </w:p>
    <w:p w14:paraId="4BF86F99">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38.1本招标文件的解释权属于采购人。</w:t>
      </w:r>
    </w:p>
    <w:p w14:paraId="14DE194D">
      <w:pPr>
        <w:spacing w:line="360" w:lineRule="auto"/>
        <w:rPr>
          <w:rFonts w:hint="eastAsia" w:ascii="宋体" w:hAnsi="宋体" w:cs="宋体"/>
          <w:bCs/>
          <w:color w:val="auto"/>
          <w:sz w:val="24"/>
          <w:highlight w:val="none"/>
        </w:rPr>
      </w:pPr>
    </w:p>
    <w:p w14:paraId="277D54D9">
      <w:pPr>
        <w:pStyle w:val="356"/>
        <w:spacing w:before="120" w:after="120" w:line="460" w:lineRule="exact"/>
        <w:ind w:left="0" w:firstLine="420" w:firstLineChars="200"/>
        <w:jc w:val="center"/>
        <w:rPr>
          <w:rFonts w:hint="eastAsia" w:ascii="宋体" w:hAnsi="宋体" w:cs="宋体"/>
          <w:color w:val="auto"/>
          <w:sz w:val="32"/>
          <w:szCs w:val="32"/>
          <w:highlight w:val="none"/>
        </w:rPr>
      </w:pPr>
      <w:bookmarkStart w:id="95" w:name="_Toc220232391"/>
      <w:bookmarkStart w:id="96" w:name="_Toc26087_WPSOffice_Level1"/>
      <w:r>
        <w:rPr>
          <w:rFonts w:hint="eastAsia" w:ascii="宋体" w:hAnsi="宋体" w:cs="宋体"/>
          <w:color w:val="auto"/>
          <w:highlight w:val="none"/>
        </w:rPr>
        <w:br w:type="page"/>
      </w:r>
      <w:bookmarkEnd w:id="95"/>
      <w:bookmarkEnd w:id="96"/>
    </w:p>
    <w:p w14:paraId="67087546">
      <w:pPr>
        <w:pStyle w:val="4"/>
        <w:rPr>
          <w:color w:val="auto"/>
          <w:highlight w:val="none"/>
        </w:rPr>
      </w:pPr>
      <w:r>
        <w:rPr>
          <w:rFonts w:hint="eastAsia"/>
          <w:color w:val="auto"/>
          <w:highlight w:val="none"/>
        </w:rPr>
        <w:t>第六章 周口市政府采购合同（服务类）标准文本</w:t>
      </w:r>
    </w:p>
    <w:p w14:paraId="3C1B8502">
      <w:pPr>
        <w:ind w:firstLine="640" w:firstLineChars="200"/>
        <w:rPr>
          <w:rFonts w:hint="eastAsia" w:ascii="宋体" w:hAnsi="宋体" w:cs="宋体"/>
          <w:color w:val="auto"/>
          <w:sz w:val="32"/>
          <w:szCs w:val="32"/>
          <w:highlight w:val="none"/>
        </w:rPr>
      </w:pPr>
    </w:p>
    <w:p w14:paraId="463CF3C4">
      <w:pPr>
        <w:pStyle w:val="356"/>
        <w:spacing w:before="120" w:after="120"/>
        <w:ind w:left="0" w:firstLine="640" w:firstLineChars="200"/>
        <w:rPr>
          <w:rFonts w:hint="eastAsia" w:ascii="宋体" w:hAnsi="宋体" w:cs="宋体"/>
          <w:color w:val="auto"/>
          <w:sz w:val="32"/>
          <w:szCs w:val="32"/>
          <w:highlight w:val="none"/>
        </w:rPr>
      </w:pPr>
    </w:p>
    <w:p w14:paraId="6BE522F1">
      <w:pPr>
        <w:pStyle w:val="356"/>
        <w:spacing w:before="120" w:after="120"/>
        <w:ind w:left="0" w:firstLine="600" w:firstLineChars="200"/>
        <w:rPr>
          <w:rFonts w:hint="eastAsia" w:ascii="宋体" w:hAnsi="宋体" w:cs="宋体"/>
          <w:color w:val="auto"/>
          <w:sz w:val="30"/>
          <w:szCs w:val="30"/>
          <w:highlight w:val="none"/>
        </w:rPr>
      </w:pPr>
    </w:p>
    <w:p w14:paraId="3616A87D">
      <w:pPr>
        <w:pStyle w:val="356"/>
        <w:spacing w:before="120" w:after="120"/>
        <w:ind w:left="0" w:firstLine="600" w:firstLineChars="200"/>
        <w:rPr>
          <w:rFonts w:hint="eastAsia" w:ascii="宋体" w:hAnsi="宋体" w:cs="宋体"/>
          <w:color w:val="auto"/>
          <w:sz w:val="30"/>
          <w:szCs w:val="30"/>
          <w:highlight w:val="none"/>
        </w:rPr>
      </w:pPr>
    </w:p>
    <w:p w14:paraId="2839FE66">
      <w:pPr>
        <w:pStyle w:val="356"/>
        <w:spacing w:before="120" w:after="120"/>
        <w:ind w:left="0" w:firstLine="600" w:firstLineChars="200"/>
        <w:rPr>
          <w:rFonts w:hint="eastAsia" w:ascii="宋体" w:hAnsi="宋体" w:cs="宋体"/>
          <w:color w:val="auto"/>
          <w:sz w:val="30"/>
          <w:szCs w:val="30"/>
          <w:highlight w:val="none"/>
        </w:rPr>
      </w:pPr>
    </w:p>
    <w:p w14:paraId="21BFD137">
      <w:pPr>
        <w:pStyle w:val="53"/>
        <w:spacing w:line="360" w:lineRule="auto"/>
        <w:ind w:firstLine="600" w:firstLineChars="200"/>
        <w:rPr>
          <w:rFonts w:hint="eastAsia" w:ascii="宋体" w:hAnsi="宋体" w:eastAsia="宋体" w:cs="宋体"/>
          <w:b w:val="0"/>
          <w:bCs/>
          <w:color w:val="auto"/>
          <w:sz w:val="30"/>
          <w:szCs w:val="30"/>
          <w:highlight w:val="none"/>
        </w:rPr>
      </w:pPr>
      <w:r>
        <w:rPr>
          <w:rFonts w:hint="eastAsia" w:ascii="宋体" w:hAnsi="宋体" w:eastAsia="宋体" w:cs="宋体"/>
          <w:b w:val="0"/>
          <w:bCs/>
          <w:color w:val="auto"/>
          <w:sz w:val="30"/>
          <w:szCs w:val="30"/>
          <w:highlight w:val="none"/>
        </w:rPr>
        <w:t>政府采购项目名称：周口市公安局高速卡口信息化升级改造及运维项目</w:t>
      </w:r>
    </w:p>
    <w:p w14:paraId="5D171406">
      <w:pPr>
        <w:pStyle w:val="356"/>
        <w:spacing w:before="120" w:after="12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政府采购项目编号：</w:t>
      </w:r>
      <w:r>
        <w:rPr>
          <w:rFonts w:hint="eastAsia" w:ascii="宋体" w:hAnsi="宋体" w:eastAsia="宋体" w:cs="宋体"/>
          <w:color w:val="auto"/>
          <w:sz w:val="32"/>
          <w:highlight w:val="none"/>
        </w:rPr>
        <w:t>周财招标采购-2025-54</w:t>
      </w:r>
    </w:p>
    <w:p w14:paraId="036EE545">
      <w:pPr>
        <w:pStyle w:val="356"/>
        <w:spacing w:before="120" w:after="120"/>
        <w:ind w:left="0" w:firstLine="600" w:firstLineChars="200"/>
        <w:rPr>
          <w:rFonts w:hint="default" w:ascii="宋体" w:hAnsi="宋体" w:eastAsia="宋体" w:cs="宋体"/>
          <w:color w:val="auto"/>
          <w:sz w:val="30"/>
          <w:szCs w:val="30"/>
          <w:highlight w:val="none"/>
          <w:lang w:val="en-US" w:eastAsia="zh-CN"/>
        </w:rPr>
      </w:pPr>
      <w:r>
        <w:rPr>
          <w:rFonts w:hint="eastAsia" w:ascii="宋体" w:hAnsi="宋体" w:cs="宋体"/>
          <w:color w:val="auto"/>
          <w:sz w:val="30"/>
          <w:szCs w:val="30"/>
          <w:highlight w:val="none"/>
        </w:rPr>
        <w:t>采      购    人：</w:t>
      </w:r>
      <w:r>
        <w:rPr>
          <w:rFonts w:hint="eastAsia" w:ascii="宋体" w:hAnsi="宋体" w:cs="宋体"/>
          <w:color w:val="auto"/>
          <w:sz w:val="30"/>
          <w:szCs w:val="30"/>
          <w:highlight w:val="none"/>
          <w:lang w:val="en-US" w:eastAsia="zh-CN"/>
        </w:rPr>
        <w:t>周口市公安局</w:t>
      </w:r>
    </w:p>
    <w:p w14:paraId="7F16C780">
      <w:pPr>
        <w:pStyle w:val="356"/>
        <w:spacing w:before="120" w:after="12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供      应    商：</w:t>
      </w:r>
    </w:p>
    <w:p w14:paraId="68470CA9">
      <w:pPr>
        <w:pStyle w:val="356"/>
        <w:spacing w:before="120" w:after="120"/>
        <w:ind w:left="0" w:firstLine="600" w:firstLineChars="200"/>
        <w:rPr>
          <w:rFonts w:hint="eastAsia" w:ascii="宋体" w:hAnsi="宋体" w:eastAsia="宋体" w:cs="宋体"/>
          <w:color w:val="auto"/>
          <w:sz w:val="30"/>
          <w:szCs w:val="30"/>
          <w:highlight w:val="none"/>
          <w:lang w:val="en-US" w:eastAsia="zh-CN"/>
        </w:rPr>
      </w:pPr>
      <w:r>
        <w:rPr>
          <w:rFonts w:hint="eastAsia" w:ascii="宋体" w:hAnsi="宋体" w:cs="宋体"/>
          <w:color w:val="auto"/>
          <w:sz w:val="30"/>
          <w:szCs w:val="30"/>
          <w:highlight w:val="none"/>
        </w:rPr>
        <w:t>合  同  签 订 地：</w:t>
      </w:r>
      <w:r>
        <w:rPr>
          <w:rFonts w:hint="eastAsia" w:ascii="宋体" w:hAnsi="宋体" w:cs="宋体"/>
          <w:color w:val="auto"/>
          <w:sz w:val="30"/>
          <w:szCs w:val="30"/>
          <w:highlight w:val="none"/>
          <w:lang w:val="en-US" w:eastAsia="zh-CN"/>
        </w:rPr>
        <w:t>周口市</w:t>
      </w:r>
    </w:p>
    <w:p w14:paraId="19B2B91B">
      <w:pPr>
        <w:pStyle w:val="356"/>
        <w:spacing w:before="120" w:after="120"/>
        <w:ind w:left="0" w:firstLine="600" w:firstLineChars="200"/>
        <w:rPr>
          <w:rFonts w:hint="default" w:ascii="宋体" w:hAnsi="宋体" w:eastAsia="宋体" w:cs="宋体"/>
          <w:color w:val="auto"/>
          <w:sz w:val="30"/>
          <w:szCs w:val="30"/>
          <w:highlight w:val="none"/>
          <w:lang w:val="en-US" w:eastAsia="zh-CN"/>
        </w:rPr>
      </w:pPr>
      <w:r>
        <w:rPr>
          <w:rFonts w:hint="eastAsia" w:ascii="宋体" w:hAnsi="宋体" w:cs="宋体"/>
          <w:color w:val="auto"/>
          <w:sz w:val="30"/>
          <w:szCs w:val="30"/>
          <w:highlight w:val="none"/>
        </w:rPr>
        <w:t>合 同 签订 时 间：</w:t>
      </w:r>
      <w:r>
        <w:rPr>
          <w:rFonts w:hint="eastAsia" w:ascii="宋体" w:hAnsi="宋体" w:cs="宋体"/>
          <w:color w:val="auto"/>
          <w:sz w:val="30"/>
          <w:szCs w:val="30"/>
          <w:highlight w:val="none"/>
          <w:lang w:val="en-US" w:eastAsia="zh-CN"/>
        </w:rPr>
        <w:t>2025年11月   日</w:t>
      </w:r>
    </w:p>
    <w:p w14:paraId="37653CB6">
      <w:pPr>
        <w:pStyle w:val="356"/>
        <w:spacing w:before="120" w:after="120"/>
        <w:ind w:left="0" w:firstLine="600" w:firstLineChars="200"/>
        <w:rPr>
          <w:rFonts w:hint="eastAsia" w:ascii="宋体" w:hAnsi="宋体" w:cs="宋体"/>
          <w:color w:val="auto"/>
          <w:sz w:val="30"/>
          <w:szCs w:val="30"/>
          <w:highlight w:val="none"/>
        </w:rPr>
      </w:pPr>
    </w:p>
    <w:p w14:paraId="720F9B8C">
      <w:pPr>
        <w:pStyle w:val="356"/>
        <w:spacing w:before="120" w:after="120"/>
        <w:ind w:left="0" w:firstLine="600" w:firstLineChars="200"/>
        <w:rPr>
          <w:rFonts w:hint="eastAsia" w:ascii="宋体" w:hAnsi="宋体" w:cs="宋体"/>
          <w:color w:val="auto"/>
          <w:sz w:val="30"/>
          <w:szCs w:val="30"/>
          <w:highlight w:val="none"/>
        </w:rPr>
      </w:pPr>
    </w:p>
    <w:p w14:paraId="45E2B2CC">
      <w:pPr>
        <w:pStyle w:val="5"/>
        <w:pageBreakBefore/>
        <w:jc w:val="center"/>
        <w:rPr>
          <w:color w:val="auto"/>
          <w:highlight w:val="none"/>
        </w:rPr>
      </w:pPr>
      <w:r>
        <w:rPr>
          <w:rFonts w:hint="eastAsia"/>
          <w:color w:val="auto"/>
          <w:highlight w:val="none"/>
        </w:rPr>
        <w:t>服务合同内容</w:t>
      </w:r>
    </w:p>
    <w:p w14:paraId="4E37FA07">
      <w:pPr>
        <w:spacing w:line="360" w:lineRule="auto"/>
        <w:ind w:firstLine="420" w:firstLineChars="200"/>
        <w:rPr>
          <w:rFonts w:hint="eastAsia" w:ascii="宋体" w:hAnsi="宋体" w:cs="宋体"/>
          <w:color w:val="auto"/>
          <w:szCs w:val="27"/>
          <w:highlight w:val="none"/>
        </w:rPr>
      </w:pPr>
    </w:p>
    <w:p w14:paraId="20DE6CA7">
      <w:pPr>
        <w:spacing w:line="360" w:lineRule="auto"/>
        <w:ind w:firstLine="420" w:firstLineChars="200"/>
        <w:rPr>
          <w:rFonts w:hint="default" w:ascii="宋体" w:hAnsi="宋体" w:eastAsia="宋体" w:cs="宋体"/>
          <w:color w:val="auto"/>
          <w:szCs w:val="27"/>
          <w:highlight w:val="none"/>
          <w:u w:val="single"/>
          <w:lang w:val="en-US" w:eastAsia="zh-CN"/>
        </w:rPr>
      </w:pPr>
      <w:r>
        <w:rPr>
          <w:rFonts w:hint="eastAsia" w:ascii="宋体" w:hAnsi="宋体" w:cs="宋体"/>
          <w:color w:val="auto"/>
          <w:szCs w:val="27"/>
          <w:highlight w:val="none"/>
        </w:rPr>
        <w:t xml:space="preserve">采购人（甲方）： </w:t>
      </w:r>
      <w:r>
        <w:rPr>
          <w:rFonts w:hint="eastAsia" w:ascii="宋体" w:hAnsi="宋体" w:cs="宋体"/>
          <w:color w:val="auto"/>
          <w:szCs w:val="27"/>
          <w:highlight w:val="none"/>
          <w:lang w:val="en-US" w:eastAsia="zh-CN"/>
        </w:rPr>
        <w:t>周口市公安局</w:t>
      </w:r>
    </w:p>
    <w:p w14:paraId="78D2478E">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lang w:eastAsia="zh-CN"/>
        </w:rPr>
        <w:t>投标人</w:t>
      </w:r>
      <w:r>
        <w:rPr>
          <w:rFonts w:hint="eastAsia" w:ascii="宋体" w:hAnsi="宋体" w:cs="宋体"/>
          <w:color w:val="auto"/>
          <w:szCs w:val="27"/>
          <w:highlight w:val="none"/>
        </w:rPr>
        <w:t>（乙方）：</w:t>
      </w:r>
    </w:p>
    <w:p w14:paraId="137B8AEF">
      <w:pPr>
        <w:spacing w:line="360" w:lineRule="auto"/>
        <w:ind w:firstLine="420" w:firstLineChars="200"/>
        <w:rPr>
          <w:rFonts w:hint="default" w:ascii="宋体" w:hAnsi="宋体" w:eastAsia="宋体" w:cs="宋体"/>
          <w:color w:val="auto"/>
          <w:szCs w:val="27"/>
          <w:highlight w:val="none"/>
          <w:u w:val="single"/>
          <w:lang w:val="en-US" w:eastAsia="zh-CN"/>
        </w:rPr>
      </w:pPr>
      <w:r>
        <w:rPr>
          <w:rFonts w:hint="eastAsia" w:ascii="宋体" w:hAnsi="宋体" w:cs="宋体"/>
          <w:color w:val="auto"/>
          <w:szCs w:val="27"/>
          <w:highlight w:val="none"/>
        </w:rPr>
        <w:t>签订地点：</w:t>
      </w:r>
      <w:r>
        <w:rPr>
          <w:rFonts w:hint="eastAsia" w:ascii="宋体" w:hAnsi="宋体" w:cs="宋体"/>
          <w:color w:val="auto"/>
          <w:szCs w:val="27"/>
          <w:highlight w:val="none"/>
          <w:lang w:val="en-US" w:eastAsia="zh-CN"/>
        </w:rPr>
        <w:t>周口市川汇区</w:t>
      </w:r>
    </w:p>
    <w:p w14:paraId="4567173D">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项目名称：</w:t>
      </w:r>
      <w:r>
        <w:rPr>
          <w:rFonts w:hint="eastAsia" w:ascii="宋体" w:hAnsi="宋体" w:cs="宋体"/>
          <w:color w:val="auto"/>
          <w:sz w:val="24"/>
          <w:highlight w:val="none"/>
        </w:rPr>
        <w:t>周口市公安局高速卡口信息化升级改造及运维项目</w:t>
      </w:r>
    </w:p>
    <w:p w14:paraId="0846C4E5">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项目编号：</w:t>
      </w:r>
      <w:r>
        <w:rPr>
          <w:rFonts w:hint="eastAsia" w:ascii="宋体" w:hAnsi="宋体" w:cs="宋体"/>
          <w:color w:val="auto"/>
          <w:sz w:val="24"/>
          <w:highlight w:val="none"/>
        </w:rPr>
        <w:t>周财招标采购-2025-54</w:t>
      </w:r>
    </w:p>
    <w:p w14:paraId="0939137F">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44318775">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b/>
          <w:bCs/>
          <w:color w:val="auto"/>
          <w:szCs w:val="27"/>
          <w:highlight w:val="none"/>
          <w:u w:val="single"/>
        </w:rPr>
        <w:t xml:space="preserve"> </w:t>
      </w:r>
      <w:r>
        <w:rPr>
          <w:rFonts w:hint="eastAsia" w:hAnsi="宋体" w:cs="宋体"/>
          <w:b/>
          <w:bCs/>
          <w:color w:val="auto"/>
          <w:kern w:val="0"/>
          <w:sz w:val="24"/>
          <w:highlight w:val="none"/>
          <w:u w:val="single"/>
        </w:rPr>
        <w:t>公开招标</w:t>
      </w:r>
      <w:r>
        <w:rPr>
          <w:rFonts w:hint="eastAsia" w:ascii="宋体" w:hAnsi="宋体" w:cs="宋体"/>
          <w:b/>
          <w:bCs/>
          <w:color w:val="auto"/>
          <w:szCs w:val="27"/>
          <w:highlight w:val="none"/>
          <w:u w:val="single"/>
        </w:rPr>
        <w:t xml:space="preserve">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采购方式，经本项目评审委员会认真评审，决定将采购合同授予乙方。为进一步明确双方的责任，确保合同的顺利履行，根据《中华人民共和国政府采购法》、《中华人民共和国</w:t>
      </w:r>
      <w:r>
        <w:rPr>
          <w:rFonts w:hint="eastAsia" w:ascii="宋体" w:hAnsi="宋体" w:cs="宋体"/>
          <w:color w:val="auto"/>
          <w:szCs w:val="27"/>
          <w:highlight w:val="none"/>
          <w:lang w:val="en-US" w:eastAsia="zh-CN"/>
        </w:rPr>
        <w:t>民法典</w:t>
      </w:r>
      <w:r>
        <w:rPr>
          <w:rFonts w:hint="eastAsia" w:ascii="宋体" w:hAnsi="宋体" w:cs="宋体"/>
          <w:color w:val="auto"/>
          <w:szCs w:val="27"/>
          <w:highlight w:val="none"/>
        </w:rPr>
        <w:t>》之规定，经甲乙双方充分协商，特订立本合同，以便共同遵守。</w:t>
      </w:r>
    </w:p>
    <w:p w14:paraId="007472E8">
      <w:pPr>
        <w:spacing w:line="360" w:lineRule="auto"/>
        <w:ind w:firstLine="422" w:firstLineChars="200"/>
        <w:rPr>
          <w:rFonts w:hint="eastAsia"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w:t>
      </w:r>
      <w:r>
        <w:rPr>
          <w:rFonts w:hint="eastAsia"/>
          <w:color w:val="auto"/>
          <w:szCs w:val="24"/>
          <w:highlight w:val="none"/>
        </w:rPr>
        <w:t>（</w:t>
      </w:r>
      <w:r>
        <w:rPr>
          <w:rFonts w:hint="eastAsia"/>
          <w:b w:val="0"/>
          <w:bCs w:val="0"/>
          <w:color w:val="auto"/>
          <w:szCs w:val="24"/>
          <w:highlight w:val="none"/>
        </w:rPr>
        <w:t>见</w:t>
      </w:r>
      <w:r>
        <w:rPr>
          <w:rFonts w:hint="eastAsia" w:asciiTheme="minorEastAsia" w:hAnsiTheme="minorEastAsia" w:eastAsiaTheme="minorEastAsia"/>
          <w:b w:val="0"/>
          <w:bCs w:val="0"/>
          <w:color w:val="auto"/>
          <w:szCs w:val="27"/>
          <w:highlight w:val="none"/>
          <w:lang w:val="en-US" w:eastAsia="zh-CN"/>
        </w:rPr>
        <w:t>附件一</w:t>
      </w:r>
      <w:r>
        <w:rPr>
          <w:rFonts w:hint="eastAsia"/>
          <w:b w:val="0"/>
          <w:bCs w:val="0"/>
          <w:color w:val="auto"/>
          <w:szCs w:val="24"/>
          <w:highlight w:val="none"/>
        </w:rPr>
        <w:t>，附表须加盖印章</w:t>
      </w:r>
      <w:r>
        <w:rPr>
          <w:rFonts w:hint="eastAsia"/>
          <w:color w:val="auto"/>
          <w:szCs w:val="24"/>
          <w:highlight w:val="none"/>
        </w:rPr>
        <w:t>）</w:t>
      </w:r>
    </w:p>
    <w:p w14:paraId="69BD7B6E">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1、升级改造内容：本项目升级改造涵盖前端设备、机房设备及配套辅材。前端设备包括 161 台 900 万像素环保抓拍单元、292 台防眩光补光灯、79 台智能终端设备、69 台 400 万像素智能球机、20 套交通信息发布屏控制器及 20 块交通信息发布屏，并配备相关配套辅材。机房设备方面，配置 1 台智能交通综合应用平台服务器、6 台应用服务器及配套平台软件，1 台数据库服务器及配套软件，1 套云存储管理系统及 6 台视频云存储管理节点，1 台核心交换机及机房布线系统。</w:t>
      </w:r>
    </w:p>
    <w:p w14:paraId="7154CCA0">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2、运维内容：运维服务范围覆盖项目全周期内所有设备，包含日常保养、定期检修、故障应急修理、部件更换以及配合设备检测检定等工作，确保高速卡口系统持续稳定运行。</w:t>
      </w:r>
    </w:p>
    <w:p w14:paraId="3A3DCB0D">
      <w:pPr>
        <w:spacing w:line="360" w:lineRule="auto"/>
        <w:ind w:firstLine="422" w:firstLineChars="200"/>
        <w:rPr>
          <w:rFonts w:hint="eastAsia"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服务标准（包括达到的水平要求），按下列第（① ）项执行：</w:t>
      </w:r>
    </w:p>
    <w:p w14:paraId="560A25A6">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18D99A79">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highlight w:val="none"/>
        </w:rPr>
        <w:t>乙方提供的服务标准和水平应与招标采购文件规定的标准和水平相一致。</w:t>
      </w:r>
    </w:p>
    <w:p w14:paraId="4F335191">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46DD1270">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1、服务方式：</w:t>
      </w:r>
      <w:r>
        <w:rPr>
          <w:rFonts w:hint="eastAsia" w:ascii="宋体" w:hAnsi="宋体" w:cs="宋体"/>
          <w:color w:val="auto"/>
          <w:highlight w:val="none"/>
        </w:rPr>
        <w:t>现场进行</w:t>
      </w:r>
      <w:r>
        <w:rPr>
          <w:rFonts w:hint="eastAsia" w:ascii="宋体" w:hAnsi="宋体" w:cs="宋体"/>
          <w:color w:val="auto"/>
          <w:szCs w:val="27"/>
          <w:highlight w:val="none"/>
        </w:rPr>
        <w:t>设备安装和调测需求清单内所有内容，维护内容包括设备日常保养、检修、故障修理、部件更换、配合设备检测检定等保持系统正常运转的相关设备升级改造及维护工作。</w:t>
      </w:r>
    </w:p>
    <w:p w14:paraId="3C669A5A">
      <w:pPr>
        <w:spacing w:line="360" w:lineRule="auto"/>
        <w:ind w:firstLine="420" w:firstLineChars="200"/>
        <w:rPr>
          <w:rFonts w:hint="eastAsia" w:ascii="宋体" w:hAnsi="宋体" w:eastAsia="宋体" w:cs="宋体"/>
          <w:color w:val="auto"/>
          <w:sz w:val="24"/>
          <w:highlight w:val="none"/>
          <w:lang w:eastAsia="zh-CN"/>
        </w:rPr>
      </w:pPr>
      <w:r>
        <w:rPr>
          <w:rFonts w:hint="eastAsia" w:ascii="宋体" w:hAnsi="宋体" w:cs="宋体"/>
          <w:color w:val="auto"/>
          <w:szCs w:val="27"/>
          <w:highlight w:val="none"/>
        </w:rPr>
        <w:t>2、服务地点：周口市辖区内各设备高速公路安装地点</w:t>
      </w:r>
      <w:r>
        <w:rPr>
          <w:rFonts w:hint="eastAsia" w:ascii="宋体" w:hAnsi="宋体" w:cs="宋体"/>
          <w:color w:val="auto"/>
          <w:szCs w:val="27"/>
          <w:highlight w:val="none"/>
          <w:lang w:eastAsia="zh-CN"/>
        </w:rPr>
        <w:t>。</w:t>
      </w:r>
    </w:p>
    <w:p w14:paraId="63C3FDD4">
      <w:pPr>
        <w:spacing w:line="360" w:lineRule="auto"/>
        <w:ind w:firstLine="420" w:firstLineChars="200"/>
        <w:rPr>
          <w:rFonts w:hint="eastAsia"/>
          <w:color w:val="auto"/>
          <w:highlight w:val="none"/>
        </w:rPr>
      </w:pPr>
      <w:r>
        <w:rPr>
          <w:rFonts w:hint="eastAsia" w:ascii="宋体" w:hAnsi="宋体" w:cs="宋体"/>
          <w:color w:val="auto"/>
          <w:sz w:val="21"/>
          <w:szCs w:val="21"/>
          <w:highlight w:val="none"/>
          <w:lang w:val="en-US" w:eastAsia="zh-CN"/>
        </w:rPr>
        <w:t>3、服务要求：</w:t>
      </w:r>
      <w:r>
        <w:rPr>
          <w:rFonts w:hint="eastAsia" w:ascii="宋体" w:hAnsi="宋体" w:cs="宋体"/>
          <w:color w:val="auto"/>
          <w:sz w:val="21"/>
          <w:szCs w:val="21"/>
          <w:highlight w:val="none"/>
          <w:lang w:val="zh-CN"/>
        </w:rPr>
        <w:t>质保期内如果出现质量问题，</w:t>
      </w:r>
      <w:r>
        <w:rPr>
          <w:rFonts w:hint="eastAsia" w:ascii="宋体" w:hAnsi="宋体" w:cs="宋体"/>
          <w:color w:val="auto"/>
          <w:sz w:val="21"/>
          <w:szCs w:val="21"/>
          <w:highlight w:val="none"/>
          <w:lang w:val="en-US" w:eastAsia="zh-CN"/>
        </w:rPr>
        <w:t>乙方</w:t>
      </w:r>
      <w:r>
        <w:rPr>
          <w:rFonts w:hint="eastAsia" w:ascii="宋体" w:hAnsi="宋体" w:cs="宋体"/>
          <w:color w:val="auto"/>
          <w:sz w:val="21"/>
          <w:szCs w:val="21"/>
          <w:highlight w:val="none"/>
          <w:lang w:val="zh-CN"/>
        </w:rPr>
        <w:t>应当无条件更换，</w:t>
      </w:r>
      <w:r>
        <w:rPr>
          <w:rFonts w:hint="eastAsia" w:ascii="宋体" w:hAnsi="宋体" w:cs="宋体"/>
          <w:color w:val="auto"/>
          <w:sz w:val="21"/>
          <w:szCs w:val="21"/>
          <w:highlight w:val="none"/>
        </w:rPr>
        <w:t>由此</w:t>
      </w:r>
      <w:r>
        <w:rPr>
          <w:rFonts w:hint="eastAsia" w:ascii="宋体" w:hAnsi="宋体" w:cs="宋体"/>
          <w:color w:val="auto"/>
          <w:sz w:val="21"/>
          <w:szCs w:val="21"/>
          <w:highlight w:val="none"/>
          <w:lang w:val="zh-CN"/>
        </w:rPr>
        <w:t>造成的损失由</w:t>
      </w:r>
      <w:r>
        <w:rPr>
          <w:rFonts w:hint="eastAsia" w:ascii="宋体" w:hAnsi="宋体" w:cs="宋体"/>
          <w:color w:val="auto"/>
          <w:sz w:val="21"/>
          <w:szCs w:val="21"/>
          <w:highlight w:val="none"/>
          <w:lang w:val="en-US" w:eastAsia="zh-CN"/>
        </w:rPr>
        <w:t>乙方</w:t>
      </w:r>
      <w:r>
        <w:rPr>
          <w:rFonts w:hint="eastAsia" w:ascii="宋体" w:hAnsi="宋体" w:cs="宋体"/>
          <w:color w:val="auto"/>
          <w:sz w:val="21"/>
          <w:szCs w:val="21"/>
          <w:highlight w:val="none"/>
          <w:lang w:val="zh-CN"/>
        </w:rPr>
        <w:t>负全部责任。</w:t>
      </w:r>
      <w:r>
        <w:rPr>
          <w:rFonts w:hint="eastAsia" w:ascii="宋体" w:hAnsi="宋体" w:cs="宋体"/>
          <w:color w:val="auto"/>
          <w:sz w:val="21"/>
          <w:szCs w:val="21"/>
          <w:highlight w:val="none"/>
        </w:rPr>
        <w:t>软、硬件产品</w:t>
      </w:r>
      <w:r>
        <w:rPr>
          <w:rFonts w:hint="eastAsia" w:ascii="宋体" w:hAnsi="宋体" w:cs="宋体"/>
          <w:color w:val="auto"/>
          <w:sz w:val="21"/>
          <w:szCs w:val="21"/>
          <w:highlight w:val="none"/>
          <w:lang w:val="zh-CN"/>
        </w:rPr>
        <w:t>免费质保</w:t>
      </w:r>
      <w:r>
        <w:rPr>
          <w:rFonts w:hint="eastAsia" w:ascii="宋体" w:hAnsi="宋体" w:cs="宋体"/>
          <w:color w:val="auto"/>
          <w:sz w:val="21"/>
          <w:szCs w:val="21"/>
          <w:highlight w:val="none"/>
        </w:rPr>
        <w:t>3</w:t>
      </w:r>
      <w:r>
        <w:rPr>
          <w:rFonts w:hint="eastAsia" w:ascii="宋体" w:hAnsi="宋体" w:cs="宋体"/>
          <w:color w:val="auto"/>
          <w:sz w:val="21"/>
          <w:szCs w:val="21"/>
          <w:highlight w:val="none"/>
          <w:lang w:val="zh-CN"/>
        </w:rPr>
        <w:t>年，质保期外的收费按相关行业规则或由双方协商收取。</w:t>
      </w:r>
    </w:p>
    <w:p w14:paraId="298255CE">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lang w:val="en-US" w:eastAsia="zh-CN"/>
        </w:rPr>
        <w:t>4</w:t>
      </w:r>
      <w:r>
        <w:rPr>
          <w:rFonts w:hint="eastAsia" w:ascii="宋体" w:hAnsi="宋体" w:cs="宋体"/>
          <w:color w:val="auto"/>
          <w:szCs w:val="27"/>
          <w:highlight w:val="none"/>
        </w:rPr>
        <w:t>、服务期限：升级改造</w:t>
      </w:r>
      <w:r>
        <w:rPr>
          <w:rFonts w:hint="eastAsia" w:ascii="宋体" w:hAnsi="宋体" w:cs="宋体"/>
          <w:color w:val="auto"/>
          <w:szCs w:val="27"/>
          <w:highlight w:val="none"/>
          <w:lang w:val="en-US" w:eastAsia="zh-CN"/>
        </w:rPr>
        <w:t>完成，调试运行正常并验收合格后3年</w:t>
      </w:r>
    </w:p>
    <w:p w14:paraId="5383BE2E">
      <w:pPr>
        <w:spacing w:line="360" w:lineRule="auto"/>
        <w:ind w:firstLine="422" w:firstLineChars="200"/>
        <w:rPr>
          <w:rFonts w:hint="eastAsia" w:ascii="宋体" w:hAnsi="宋体" w:cs="宋体"/>
          <w:b/>
          <w:bCs/>
          <w:color w:val="auto"/>
          <w:highlight w:val="none"/>
        </w:rPr>
      </w:pPr>
      <w:r>
        <w:rPr>
          <w:rFonts w:hint="eastAsia" w:ascii="宋体" w:hAnsi="宋体" w:cs="宋体"/>
          <w:b/>
          <w:bCs/>
          <w:color w:val="auto"/>
          <w:highlight w:val="none"/>
        </w:rPr>
        <w:t>第四条  费用及支付方式</w:t>
      </w:r>
    </w:p>
    <w:p w14:paraId="0FD95279">
      <w:pPr>
        <w:pStyle w:val="18"/>
        <w:kinsoku w:val="0"/>
        <w:overflowPunct w:val="0"/>
        <w:spacing w:line="364" w:lineRule="auto"/>
        <w:ind w:firstLine="420" w:firstLineChars="200"/>
        <w:rPr>
          <w:rFonts w:hint="eastAsia" w:hAnsi="宋体" w:cs="宋体"/>
          <w:b w:val="0"/>
          <w:bCs/>
          <w:color w:val="auto"/>
          <w:highlight w:val="none"/>
        </w:rPr>
      </w:pPr>
      <w:r>
        <w:rPr>
          <w:rFonts w:hint="eastAsia" w:hAnsi="宋体" w:cs="宋体"/>
          <w:b w:val="0"/>
          <w:bCs/>
          <w:color w:val="auto"/>
          <w:highlight w:val="none"/>
        </w:rPr>
        <w:t>(一)本项目费用有以下组成：</w:t>
      </w:r>
    </w:p>
    <w:p w14:paraId="04D918BF">
      <w:pPr>
        <w:keepNext w:val="0"/>
        <w:keepLines w:val="0"/>
        <w:pageBreakBefore w:val="0"/>
        <w:kinsoku/>
        <w:wordWrap/>
        <w:overflowPunct/>
        <w:topLinePunct w:val="0"/>
        <w:autoSpaceDE/>
        <w:autoSpaceDN/>
        <w:bidi w:val="0"/>
        <w:spacing w:line="38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合同总金额不超过</w:t>
      </w:r>
      <w:r>
        <w:rPr>
          <w:rFonts w:hint="eastAsia" w:ascii="宋体" w:hAnsi="宋体" w:eastAsia="宋体" w:cs="宋体"/>
          <w:color w:val="auto"/>
          <w:sz w:val="21"/>
          <w:szCs w:val="21"/>
          <w:highlight w:val="none"/>
        </w:rPr>
        <w:t>7150959.55元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合同履行期限：</w:t>
      </w:r>
      <w:r>
        <w:rPr>
          <w:rFonts w:hint="eastAsia" w:ascii="宋体" w:hAnsi="宋体" w:cs="宋体"/>
          <w:color w:val="auto"/>
          <w:sz w:val="21"/>
          <w:szCs w:val="21"/>
          <w:highlight w:val="none"/>
        </w:rPr>
        <w:t>合同签订后3个月内完成升级改造，调试运行正常</w:t>
      </w:r>
      <w:r>
        <w:rPr>
          <w:rFonts w:hint="eastAsia" w:ascii="宋体" w:hAnsi="宋体" w:cs="宋体"/>
          <w:color w:val="auto"/>
          <w:sz w:val="21"/>
          <w:szCs w:val="21"/>
          <w:highlight w:val="none"/>
          <w:lang w:eastAsia="zh-CN"/>
        </w:rPr>
        <w:t>。</w:t>
      </w:r>
    </w:p>
    <w:p w14:paraId="62D6029E">
      <w:pPr>
        <w:pStyle w:val="18"/>
        <w:kinsoku w:val="0"/>
        <w:overflowPunct w:val="0"/>
        <w:ind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(二)费用支付方式：</w:t>
      </w:r>
    </w:p>
    <w:p w14:paraId="2BA9215E">
      <w:pPr>
        <w:pStyle w:val="18"/>
        <w:kinsoku w:val="0"/>
        <w:overflowPunct w:val="0"/>
        <w:spacing w:line="364"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1、合同签订生效后，按月支付合同期内的服务费用。每月由采购人对中标项目的运行维护记录进行审核无异议后，</w:t>
      </w:r>
      <w:r>
        <w:rPr>
          <w:rFonts w:hint="eastAsia" w:ascii="宋体" w:hAnsi="宋体" w:eastAsia="宋体" w:cs="宋体"/>
          <w:color w:val="auto"/>
          <w:kern w:val="0"/>
          <w:sz w:val="21"/>
          <w:szCs w:val="21"/>
          <w:highlight w:val="none"/>
        </w:rPr>
        <w:t>采购人依据供货商开具的实际应付款项的正式发票</w:t>
      </w:r>
      <w:r>
        <w:rPr>
          <w:rFonts w:hint="eastAsia" w:ascii="宋体" w:hAnsi="宋体" w:eastAsia="宋体" w:cs="宋体"/>
          <w:color w:val="auto"/>
          <w:sz w:val="21"/>
          <w:szCs w:val="21"/>
          <w:highlight w:val="none"/>
        </w:rPr>
        <w:t>支付上月费用。</w:t>
      </w:r>
    </w:p>
    <w:p w14:paraId="443D4E9C">
      <w:pPr>
        <w:pStyle w:val="18"/>
        <w:kinsoku w:val="0"/>
        <w:overflowPunct w:val="0"/>
        <w:spacing w:line="364" w:lineRule="auto"/>
        <w:ind w:firstLine="420" w:firstLineChars="200"/>
        <w:rPr>
          <w:rFonts w:hint="eastAsia" w:hAnsi="宋体" w:cs="宋体"/>
          <w:color w:val="auto"/>
          <w:highlight w:val="none"/>
        </w:rPr>
      </w:pPr>
      <w:r>
        <w:rPr>
          <w:rFonts w:hint="eastAsia" w:hAnsi="宋体" w:cs="宋体"/>
          <w:color w:val="auto"/>
          <w:highlight w:val="none"/>
          <w:lang w:val="en-US" w:eastAsia="zh-CN"/>
        </w:rPr>
        <w:t>2</w:t>
      </w:r>
      <w:r>
        <w:rPr>
          <w:rFonts w:hint="eastAsia" w:hAnsi="宋体" w:cs="宋体"/>
          <w:color w:val="auto"/>
          <w:highlight w:val="none"/>
        </w:rPr>
        <w:t>、在支付前甲方对乙方的服务进行考核或验收，合格的支付相应款项。乙方须向甲方出具合法有效完整的完税发票及凭证资料进行支付结算。</w:t>
      </w:r>
    </w:p>
    <w:p w14:paraId="64775147">
      <w:pPr>
        <w:pStyle w:val="18"/>
        <w:kinsoku w:val="0"/>
        <w:overflowPunct w:val="0"/>
        <w:spacing w:line="364" w:lineRule="auto"/>
        <w:ind w:firstLine="420" w:firstLineChars="200"/>
        <w:rPr>
          <w:rFonts w:hint="eastAsia" w:eastAsia="宋体"/>
          <w:color w:val="auto"/>
          <w:highlight w:val="none"/>
          <w:lang w:val="en-US" w:eastAsia="zh-CN"/>
        </w:rPr>
      </w:pPr>
      <w:r>
        <w:rPr>
          <w:rFonts w:hint="eastAsia" w:hAnsi="宋体" w:cs="宋体"/>
          <w:color w:val="auto"/>
          <w:highlight w:val="none"/>
          <w:lang w:val="en-US" w:eastAsia="zh-CN"/>
        </w:rPr>
        <w:t>3、</w:t>
      </w:r>
      <w:r>
        <w:rPr>
          <w:rFonts w:hint="eastAsia"/>
          <w:b w:val="0"/>
          <w:bCs w:val="0"/>
          <w:color w:val="auto"/>
          <w:highlight w:val="none"/>
          <w:u w:val="none"/>
        </w:rPr>
        <w:t>鉴于该项目款项由财政资金拨付，双方确认甲方提报财政</w:t>
      </w:r>
      <w:r>
        <w:rPr>
          <w:rFonts w:hint="eastAsia"/>
          <w:b w:val="0"/>
          <w:bCs w:val="0"/>
          <w:color w:val="auto"/>
          <w:highlight w:val="none"/>
          <w:u w:val="none"/>
          <w:lang w:eastAsia="zh-CN"/>
        </w:rPr>
        <w:t>付</w:t>
      </w:r>
      <w:r>
        <w:rPr>
          <w:rFonts w:hint="eastAsia"/>
          <w:b w:val="0"/>
          <w:bCs w:val="0"/>
          <w:color w:val="auto"/>
          <w:highlight w:val="none"/>
          <w:u w:val="none"/>
        </w:rPr>
        <w:t>款申请后即视为甲方履行了按期付款义务，因政府原因、财政流程原因等非甲方原因导致的付款迟延不视为甲方违约。</w:t>
      </w:r>
    </w:p>
    <w:p w14:paraId="3EE99373">
      <w:pPr>
        <w:pStyle w:val="18"/>
        <w:kinsoku w:val="0"/>
        <w:overflowPunct w:val="0"/>
        <w:ind w:firstLine="422" w:firstLineChars="200"/>
        <w:rPr>
          <w:rFonts w:hint="eastAsia" w:hAnsi="宋体" w:cs="宋体"/>
          <w:color w:val="auto"/>
          <w:highlight w:val="none"/>
        </w:rPr>
      </w:pPr>
      <w:r>
        <w:rPr>
          <w:rFonts w:hint="eastAsia" w:hAnsi="宋体" w:cs="宋体"/>
          <w:b/>
          <w:color w:val="auto"/>
          <w:highlight w:val="none"/>
        </w:rPr>
        <w:t xml:space="preserve">第五条  付款条件   </w:t>
      </w:r>
      <w:r>
        <w:rPr>
          <w:rFonts w:hint="eastAsia" w:hAnsi="宋体" w:cs="宋体"/>
          <w:color w:val="auto"/>
          <w:highlight w:val="none"/>
        </w:rPr>
        <w:t xml:space="preserve">               </w:t>
      </w:r>
    </w:p>
    <w:p w14:paraId="44CB4A2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本合同以人民币付款。</w:t>
      </w:r>
    </w:p>
    <w:p w14:paraId="6390A3A9">
      <w:pPr>
        <w:spacing w:line="360" w:lineRule="auto"/>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第六条  验收方法</w:t>
      </w:r>
    </w:p>
    <w:p w14:paraId="127F168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2C7AB17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6F832A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585187D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6B84A854">
      <w:pPr>
        <w:spacing w:line="360" w:lineRule="auto"/>
        <w:ind w:firstLine="420" w:firstLineChars="200"/>
        <w:rPr>
          <w:rFonts w:hint="eastAsia"/>
          <w:color w:val="auto"/>
          <w:highlight w:val="none"/>
        </w:rPr>
      </w:pPr>
      <w:r>
        <w:rPr>
          <w:rFonts w:hint="eastAsia" w:ascii="宋体" w:hAnsi="宋体" w:cs="宋体"/>
          <w:color w:val="auto"/>
          <w:highlight w:val="none"/>
          <w:lang w:val="en-US" w:eastAsia="zh-CN"/>
        </w:rPr>
        <w:t>5、</w:t>
      </w:r>
      <w:r>
        <w:rPr>
          <w:rFonts w:hint="eastAsia"/>
          <w:color w:val="auto"/>
          <w:szCs w:val="24"/>
          <w:highlight w:val="none"/>
          <w:lang w:val="en-US"/>
        </w:rPr>
        <w:t>检测、验收费用承担方式：</w:t>
      </w:r>
      <w:r>
        <w:rPr>
          <w:rFonts w:hint="eastAsia"/>
          <w:color w:val="auto"/>
          <w:szCs w:val="24"/>
          <w:highlight w:val="none"/>
          <w:lang w:val="en-US" w:eastAsia="zh-CN"/>
        </w:rPr>
        <w:t>验收所产生的</w:t>
      </w:r>
      <w:r>
        <w:rPr>
          <w:rFonts w:hint="eastAsia"/>
          <w:color w:val="auto"/>
          <w:szCs w:val="24"/>
          <w:highlight w:val="none"/>
          <w:lang w:val="en-US"/>
        </w:rPr>
        <w:t>检测、验收费用</w:t>
      </w:r>
      <w:r>
        <w:rPr>
          <w:rFonts w:hint="eastAsia"/>
          <w:color w:val="auto"/>
          <w:szCs w:val="24"/>
          <w:highlight w:val="none"/>
          <w:lang w:val="en-US" w:eastAsia="zh-CN"/>
        </w:rPr>
        <w:t>由乙方承担</w:t>
      </w:r>
      <w:r>
        <w:rPr>
          <w:rFonts w:hint="eastAsia"/>
          <w:color w:val="auto"/>
          <w:szCs w:val="24"/>
          <w:highlight w:val="none"/>
          <w:lang w:val="en-US"/>
        </w:rPr>
        <w:t>。</w:t>
      </w:r>
    </w:p>
    <w:p w14:paraId="2AF8C997">
      <w:pPr>
        <w:pStyle w:val="18"/>
        <w:kinsoku w:val="0"/>
        <w:overflowPunct w:val="0"/>
        <w:spacing w:line="364" w:lineRule="auto"/>
        <w:ind w:firstLine="422" w:firstLineChars="200"/>
        <w:rPr>
          <w:rFonts w:hint="eastAsia" w:hAnsi="宋体" w:cs="宋体"/>
          <w:b/>
          <w:color w:val="auto"/>
          <w:highlight w:val="none"/>
        </w:rPr>
      </w:pPr>
      <w:r>
        <w:rPr>
          <w:rFonts w:hint="eastAsia" w:hAnsi="宋体" w:cs="宋体"/>
          <w:b/>
          <w:color w:val="auto"/>
          <w:highlight w:val="none"/>
        </w:rPr>
        <w:t>第七条 知识产权</w:t>
      </w:r>
    </w:p>
    <w:p w14:paraId="4C56A284">
      <w:pPr>
        <w:pStyle w:val="18"/>
        <w:kinsoku w:val="0"/>
        <w:overflowPunct w:val="0"/>
        <w:spacing w:line="364" w:lineRule="auto"/>
        <w:ind w:firstLine="420" w:firstLineChars="200"/>
        <w:rPr>
          <w:rFonts w:hint="eastAsia" w:hAnsi="宋体" w:cs="宋体"/>
          <w:color w:val="auto"/>
          <w:highlight w:val="none"/>
        </w:rPr>
      </w:pPr>
      <w:r>
        <w:rPr>
          <w:rFonts w:hint="eastAsia" w:hAnsi="宋体" w:cs="宋体"/>
          <w:color w:val="auto"/>
          <w:highlight w:val="none"/>
        </w:rPr>
        <w:t>乙方应保证所提供的服务或其任何一部分均不会侵犯任何第三方的专利权、商标权或著作权。</w:t>
      </w:r>
      <w:r>
        <w:rPr>
          <w:rFonts w:hint="eastAsia"/>
          <w:color w:val="auto"/>
          <w:szCs w:val="24"/>
          <w:highlight w:val="none"/>
          <w:lang w:val="en-US" w:eastAsia="zh-CN"/>
        </w:rPr>
        <w:t>若乙方</w:t>
      </w:r>
      <w:r>
        <w:rPr>
          <w:rFonts w:hint="eastAsia"/>
          <w:color w:val="auto"/>
          <w:szCs w:val="24"/>
          <w:highlight w:val="none"/>
          <w:lang w:val="en-US"/>
        </w:rPr>
        <w:t>所提供的服务侵犯第三方的专利权、商标权或著作权，</w:t>
      </w:r>
      <w:r>
        <w:rPr>
          <w:rFonts w:hint="eastAsia"/>
          <w:color w:val="auto"/>
          <w:szCs w:val="24"/>
          <w:highlight w:val="none"/>
          <w:lang w:val="en-US" w:eastAsia="zh-CN"/>
        </w:rPr>
        <w:t>则</w:t>
      </w:r>
      <w:r>
        <w:rPr>
          <w:rFonts w:hint="eastAsia"/>
          <w:color w:val="auto"/>
          <w:szCs w:val="24"/>
          <w:highlight w:val="none"/>
          <w:lang w:val="en-US"/>
        </w:rPr>
        <w:t>乙方违约，乙方应</w:t>
      </w:r>
      <w:r>
        <w:rPr>
          <w:rFonts w:hint="eastAsia"/>
          <w:color w:val="auto"/>
          <w:szCs w:val="24"/>
          <w:highlight w:val="none"/>
          <w:lang w:val="en-US" w:eastAsia="zh-CN"/>
        </w:rPr>
        <w:t>自行</w:t>
      </w:r>
      <w:r>
        <w:rPr>
          <w:rFonts w:hint="eastAsia"/>
          <w:color w:val="auto"/>
          <w:szCs w:val="24"/>
          <w:highlight w:val="none"/>
          <w:lang w:val="en-US"/>
        </w:rPr>
        <w:t>负担由此而产生的一切损失，由此而导致的甲方对任何第三方的法律责任等，乙方对此均应承担全部的赔偿责任。</w:t>
      </w:r>
    </w:p>
    <w:p w14:paraId="5AB57950">
      <w:pPr>
        <w:ind w:firstLine="422" w:firstLineChars="200"/>
        <w:rPr>
          <w:b/>
          <w:bCs/>
          <w:color w:val="auto"/>
          <w:highlight w:val="none"/>
        </w:rPr>
      </w:pPr>
      <w:r>
        <w:rPr>
          <w:rFonts w:hint="eastAsia"/>
          <w:b/>
          <w:bCs/>
          <w:color w:val="auto"/>
          <w:highlight w:val="none"/>
        </w:rPr>
        <w:t>第八条 无产权瑕疵条款</w:t>
      </w:r>
    </w:p>
    <w:p w14:paraId="56D19BAF">
      <w:pPr>
        <w:pStyle w:val="18"/>
        <w:kinsoku w:val="0"/>
        <w:overflowPunct w:val="0"/>
        <w:ind w:firstLine="420" w:firstLineChars="200"/>
        <w:rPr>
          <w:rFonts w:hint="eastAsia" w:hAnsi="宋体" w:cs="宋体"/>
          <w:color w:val="auto"/>
          <w:highlight w:val="none"/>
        </w:rPr>
      </w:pPr>
      <w:r>
        <w:rPr>
          <w:rFonts w:hint="eastAsia" w:hAnsi="宋体" w:cs="宋体"/>
          <w:color w:val="auto"/>
          <w:highlight w:val="none"/>
        </w:rPr>
        <w:t>乙方保证所提供的服务的所有权完全属于乙方且无任何抵押、查封等产权瑕疵。如有产权瑕疵的，视为乙方违约。乙方应负担由此而产生的一切损失。</w:t>
      </w:r>
    </w:p>
    <w:p w14:paraId="7EE44FD0">
      <w:pPr>
        <w:spacing w:line="400" w:lineRule="exact"/>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第九条  履约（或质量）保证金</w:t>
      </w:r>
    </w:p>
    <w:p w14:paraId="04BA38A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本项目不收取履约保证金。</w:t>
      </w:r>
    </w:p>
    <w:p w14:paraId="6DACA16F">
      <w:pPr>
        <w:ind w:firstLine="422" w:firstLineChars="200"/>
        <w:rPr>
          <w:b/>
          <w:bCs/>
          <w:color w:val="auto"/>
          <w:highlight w:val="none"/>
        </w:rPr>
      </w:pPr>
      <w:r>
        <w:rPr>
          <w:rFonts w:hint="eastAsia"/>
          <w:b/>
          <w:bCs/>
          <w:color w:val="auto"/>
          <w:highlight w:val="none"/>
        </w:rPr>
        <w:t>第十条 甲方的权利和义务</w:t>
      </w:r>
    </w:p>
    <w:p w14:paraId="0279F8F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7932A07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537B4EA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40F68A1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4、根据本合同规定，按时向乙方支付应付服务费用。</w:t>
      </w:r>
    </w:p>
    <w:p w14:paraId="7170454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5、甲方应负责协调并确认本项目前端配电箱的取电位置，且须承担前端设备运行过程中产生的全部电费，确保电费按时足额缴纳。​</w:t>
      </w:r>
    </w:p>
    <w:p w14:paraId="1CB1C3E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6、若因甲方未足额缴纳电费、主干电线故障、上联电源故障或不可抗力因素，导致前端设备断电离线，在项目结算费用时，该类离线情况不纳入费用扣减依据及设备离线计算范畴。​</w:t>
      </w:r>
    </w:p>
    <w:p w14:paraId="4756867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7、在本升级改造及运维项目中，原则上沿用原有主干电缆，若因实际情况需更换电源取电位置或重新铺设主干电缆，甲方应按实际发生情况据实承担由此产生的主干电缆施工及材料费用。</w:t>
      </w:r>
    </w:p>
    <w:p w14:paraId="4E94A1B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8、本项目为升级改造及运维项目，设备初始安装位置为原有位置。若后续需更换设备安装位置或进行立杆基础建设，相关产生的全部费用由甲方根据实际支出情况据实承担。</w:t>
      </w:r>
    </w:p>
    <w:p w14:paraId="0478865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9、国家法律、法规所规定由甲方承担的其他责任。               </w:t>
      </w:r>
    </w:p>
    <w:p w14:paraId="3175AF28">
      <w:pPr>
        <w:pStyle w:val="18"/>
        <w:kinsoku w:val="0"/>
        <w:overflowPunct w:val="0"/>
        <w:spacing w:line="364" w:lineRule="auto"/>
        <w:ind w:firstLine="422" w:firstLineChars="200"/>
        <w:rPr>
          <w:rFonts w:hint="eastAsia" w:hAnsi="宋体" w:cs="宋体"/>
          <w:b/>
          <w:color w:val="auto"/>
          <w:highlight w:val="none"/>
        </w:rPr>
      </w:pPr>
      <w:r>
        <w:rPr>
          <w:rFonts w:hint="eastAsia" w:hAnsi="宋体" w:cs="宋体"/>
          <w:b/>
          <w:color w:val="auto"/>
          <w:highlight w:val="none"/>
        </w:rPr>
        <w:t>第十一条 乙方的权利和义务</w:t>
      </w:r>
    </w:p>
    <w:p w14:paraId="162D80A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441D562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0B58B25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2CD6F16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07B7E54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5、有权要求甲方按合同约定及时提供项目所需的场地准入、设备基础资料等必要支持，保障项目顺利开展。</w:t>
      </w:r>
    </w:p>
    <w:p w14:paraId="4A6E6F7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6、在甲方未按约定履行义务导致项目无法正常推进时，乙方有权暂停施工或运维工作，并要求甲方承担相应损失。</w:t>
      </w:r>
    </w:p>
    <w:p w14:paraId="7C8447D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7、在升级改造阶段，乙方应严格按照国家相关标准、行业规范及经甲方确认的设计方案，使用符合质量要求的设备和材料，确保改造后的卡口系统满足交通管理功能需求。</w:t>
      </w:r>
      <w:r>
        <w:rPr>
          <w:rFonts w:hint="eastAsia"/>
          <w:color w:val="auto"/>
          <w:highlight w:val="none"/>
          <w:lang w:val="en-US" w:eastAsia="zh-CN"/>
        </w:rPr>
        <w:t>一旦发现材料以次充好，甲方有权解除合同，要求乙方退还已付款，并赔偿损失。</w:t>
      </w:r>
    </w:p>
    <w:p w14:paraId="33205D5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8、在运维服务期内，乙方需建立专业运维团队，7×24 小时响应高速卡口设备故障，按照合同约定的响应时间和修复标准，及时处理系统故障、设备损坏等问题。</w:t>
      </w:r>
    </w:p>
    <w:p w14:paraId="7F801B5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9、定期对卡口设备、视频监控设备、信息发布屏设备进行巡检、维护、保养。</w:t>
      </w:r>
    </w:p>
    <w:p w14:paraId="2494B30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10、负责对运维范围内的软件系统进行版本更新、漏洞修复及数据安全管理。</w:t>
      </w:r>
    </w:p>
    <w:p w14:paraId="1EFCE7B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11、配合甲方完成上级部门检查、系统功能优化等工作。</w:t>
      </w:r>
    </w:p>
    <w:p w14:paraId="750C65F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12、乙方有权根据国家及行业安全施工规范，结合当地气象部门发布的恶劣天气预警，或通过现场实际勘察确认存在影响施工及运维安全的恶劣环境条件时，拒绝开展相关作业；在作出拒绝作业决定后，应于 1 小时内以书面形式通知甲方，并同步提供相关恶劣环境的判定依据；待恶劣环境条件消除后，需及时与甲方沟通，协商恢复施工及运维作业的具体时间，并在确保安全的前提下尽快复工。同时，乙方应严格遵守国家法律法规及施工现场安全管理规定，采取必要的安全防护措施，确保施工及运维过程中人员、设备和周边环境安全</w:t>
      </w:r>
      <w:r>
        <w:rPr>
          <w:rFonts w:hint="eastAsia" w:ascii="宋体" w:hAnsi="宋体" w:cs="宋体"/>
          <w:color w:val="auto"/>
          <w:highlight w:val="none"/>
          <w:lang w:eastAsia="zh-CN"/>
        </w:rPr>
        <w:t>，</w:t>
      </w:r>
      <w:r>
        <w:rPr>
          <w:rFonts w:hint="eastAsia"/>
          <w:color w:val="auto"/>
          <w:highlight w:val="none"/>
          <w:u w:val="none"/>
          <w:lang w:val="en-US" w:eastAsia="zh-CN"/>
        </w:rPr>
        <w:t>在施工期间造成的一切事故或损失，由乙方承担所发生的一切费用及相关责任。施工中发生的其他意外事故及损失由乙方全部承担。</w:t>
      </w:r>
    </w:p>
    <w:p w14:paraId="5F518C8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13、国家法律、法规所规定由乙方承担的其它责任。</w:t>
      </w:r>
    </w:p>
    <w:p w14:paraId="68FBB3F5">
      <w:pPr>
        <w:pStyle w:val="18"/>
        <w:kinsoku w:val="0"/>
        <w:overflowPunct w:val="0"/>
        <w:spacing w:line="364" w:lineRule="auto"/>
        <w:ind w:firstLine="422" w:firstLineChars="200"/>
        <w:rPr>
          <w:rFonts w:hint="eastAsia" w:hAnsi="宋体" w:cs="宋体"/>
          <w:b/>
          <w:color w:val="auto"/>
          <w:highlight w:val="none"/>
        </w:rPr>
      </w:pPr>
      <w:r>
        <w:rPr>
          <w:rFonts w:hint="eastAsia" w:hAnsi="宋体" w:cs="宋体"/>
          <w:b/>
          <w:color w:val="auto"/>
          <w:highlight w:val="none"/>
        </w:rPr>
        <w:t>第十二条 违约责任</w:t>
      </w:r>
    </w:p>
    <w:p w14:paraId="2070EBB5">
      <w:pPr>
        <w:pStyle w:val="18"/>
        <w:kinsoku w:val="0"/>
        <w:overflowPunct w:val="0"/>
        <w:ind w:firstLine="420" w:firstLineChars="200"/>
        <w:rPr>
          <w:rFonts w:hint="eastAsia" w:hAnsi="宋体" w:cs="宋体"/>
          <w:color w:val="auto"/>
          <w:highlight w:val="none"/>
        </w:rPr>
      </w:pPr>
      <w:r>
        <w:rPr>
          <w:rFonts w:hint="eastAsia" w:hAnsi="宋体" w:cs="宋体"/>
          <w:color w:val="auto"/>
          <w:highlight w:val="none"/>
        </w:rPr>
        <w:t>1、甲乙双方必须遵守本合同并执行合同中的各项规定，保证本合同的正常履行。</w:t>
      </w:r>
    </w:p>
    <w:p w14:paraId="3D981F2C">
      <w:pPr>
        <w:pStyle w:val="18"/>
        <w:kinsoku w:val="0"/>
        <w:overflowPunct w:val="0"/>
        <w:spacing w:line="364" w:lineRule="auto"/>
        <w:ind w:firstLine="420" w:firstLineChars="200"/>
        <w:rPr>
          <w:rFonts w:hint="eastAsia" w:hAnsi="宋体" w:cs="宋体"/>
          <w:color w:val="auto"/>
          <w:highlight w:val="none"/>
        </w:rPr>
      </w:pPr>
      <w:r>
        <w:rPr>
          <w:rFonts w:hint="eastAsia" w:hAnsi="宋体" w:cs="宋体"/>
          <w:color w:val="auto"/>
          <w:highlight w:val="none"/>
          <w:lang w:val="en-US" w:eastAsia="zh-CN"/>
        </w:rPr>
        <w:t>2</w:t>
      </w:r>
      <w:r>
        <w:rPr>
          <w:rFonts w:hint="eastAsia" w:hAnsi="宋体" w:cs="宋体"/>
          <w:color w:val="auto"/>
          <w:highlight w:val="none"/>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hAnsi="宋体" w:cs="宋体"/>
          <w:color w:val="auto"/>
          <w:highlight w:val="none"/>
          <w:lang w:eastAsia="zh-CN"/>
        </w:rPr>
        <w:t>，</w:t>
      </w:r>
      <w:r>
        <w:rPr>
          <w:rFonts w:hint="eastAsia" w:hAnsi="宋体" w:cs="宋体"/>
          <w:color w:val="auto"/>
          <w:highlight w:val="none"/>
          <w:lang w:val="en-US" w:eastAsia="zh-CN"/>
        </w:rPr>
        <w:t>且甲方有权解除合同</w:t>
      </w:r>
      <w:r>
        <w:rPr>
          <w:rFonts w:hint="eastAsia" w:hAnsi="宋体" w:cs="宋体"/>
          <w:color w:val="auto"/>
          <w:highlight w:val="none"/>
        </w:rPr>
        <w:t>。</w:t>
      </w:r>
    </w:p>
    <w:p w14:paraId="79D927D8">
      <w:pPr>
        <w:pStyle w:val="18"/>
        <w:kinsoku w:val="0"/>
        <w:overflowPunct w:val="0"/>
        <w:spacing w:line="364" w:lineRule="auto"/>
        <w:ind w:firstLine="420" w:firstLineChars="200"/>
        <w:rPr>
          <w:rFonts w:hint="eastAsia" w:hAnsi="宋体" w:cs="宋体"/>
          <w:color w:val="auto"/>
          <w:highlight w:val="none"/>
        </w:rPr>
      </w:pPr>
      <w:r>
        <w:rPr>
          <w:rFonts w:hint="eastAsia" w:hAnsi="宋体" w:cs="宋体"/>
          <w:color w:val="auto"/>
          <w:highlight w:val="none"/>
          <w:lang w:val="en-US" w:eastAsia="zh-CN"/>
        </w:rPr>
        <w:t>3</w:t>
      </w:r>
      <w:r>
        <w:rPr>
          <w:rFonts w:hint="eastAsia" w:hAnsi="宋体" w:cs="宋体"/>
          <w:color w:val="auto"/>
          <w:highlight w:val="none"/>
        </w:rPr>
        <w:t>、变更、中止或者终止合同，有过错的一方应当承担赔偿责任，双方都有过错的，各自承担相应的责任。</w:t>
      </w:r>
    </w:p>
    <w:p w14:paraId="5DE57032">
      <w:pPr>
        <w:spacing w:line="360" w:lineRule="auto"/>
        <w:ind w:firstLine="422" w:firstLineChars="200"/>
        <w:rPr>
          <w:rFonts w:hint="eastAsia" w:ascii="宋体" w:hAnsi="宋体" w:cs="宋体"/>
          <w:b/>
          <w:bCs w:val="0"/>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
          <w:bCs w:val="0"/>
          <w:color w:val="auto"/>
          <w:highlight w:val="none"/>
        </w:rPr>
        <w:t>转让与分包</w:t>
      </w:r>
    </w:p>
    <w:p w14:paraId="364B6F6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3C93A549">
      <w:pPr>
        <w:spacing w:line="360" w:lineRule="auto"/>
        <w:ind w:firstLine="420" w:firstLineChars="200"/>
        <w:rPr>
          <w:rFonts w:hint="eastAsia" w:ascii="宋体" w:hAnsi="宋体" w:cs="宋体"/>
          <w:b/>
          <w:bCs/>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DBA6620">
      <w:pPr>
        <w:spacing w:line="360" w:lineRule="auto"/>
        <w:ind w:firstLine="422" w:firstLineChars="200"/>
        <w:rPr>
          <w:rFonts w:hint="default"/>
          <w:b/>
          <w:bCs/>
          <w:color w:val="auto"/>
          <w:szCs w:val="24"/>
          <w:highlight w:val="none"/>
          <w:lang w:val="en-US" w:eastAsia="zh-CN"/>
        </w:rPr>
      </w:pPr>
      <w:r>
        <w:rPr>
          <w:rFonts w:hint="eastAsia" w:ascii="宋体" w:hAnsi="宋体" w:cs="宋体"/>
          <w:b/>
          <w:bCs/>
          <w:color w:val="auto"/>
          <w:szCs w:val="27"/>
          <w:highlight w:val="none"/>
        </w:rPr>
        <w:t xml:space="preserve">第十四条 </w:t>
      </w:r>
      <w:r>
        <w:rPr>
          <w:rFonts w:hint="eastAsia" w:ascii="宋体" w:hAnsi="宋体" w:cs="宋体"/>
          <w:b/>
          <w:bCs/>
          <w:color w:val="auto"/>
          <w:highlight w:val="none"/>
        </w:rPr>
        <w:t>合同文件及资料的使用</w:t>
      </w:r>
      <w:r>
        <w:rPr>
          <w:rFonts w:hint="eastAsia"/>
          <w:b/>
          <w:bCs/>
          <w:color w:val="auto"/>
          <w:szCs w:val="24"/>
          <w:highlight w:val="none"/>
          <w:lang w:val="en-US" w:eastAsia="zh-CN"/>
        </w:rPr>
        <w:t>及保密义务</w:t>
      </w:r>
    </w:p>
    <w:p w14:paraId="0A6671B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w:t>
      </w:r>
      <w:r>
        <w:rPr>
          <w:rFonts w:hint="eastAsia" w:ascii="宋体" w:hAnsi="宋体" w:cs="宋体"/>
          <w:color w:val="auto"/>
          <w:highlight w:val="none"/>
          <w:lang w:val="en-US" w:eastAsia="zh-CN"/>
        </w:rPr>
        <w:t>书面</w:t>
      </w:r>
      <w:r>
        <w:rPr>
          <w:rFonts w:hint="eastAsia" w:ascii="宋体" w:hAnsi="宋体" w:cs="宋体"/>
          <w:color w:val="auto"/>
          <w:highlight w:val="none"/>
        </w:rPr>
        <w:t>同意的情况下，不得将合同、合同中的规定、有关计划、图纸、样本或甲方为上述内容向乙方提供的</w:t>
      </w:r>
      <w:r>
        <w:rPr>
          <w:rFonts w:hint="eastAsia"/>
          <w:color w:val="auto"/>
          <w:szCs w:val="24"/>
          <w:highlight w:val="none"/>
          <w:lang w:val="en-US" w:eastAsia="zh-CN"/>
        </w:rPr>
        <w:t>包括但不限于在项目中接触/生成的项目商业秘密、技术资料、客户信息、方案数据以及本合同内容等未公开信息</w:t>
      </w:r>
      <w:r>
        <w:rPr>
          <w:rFonts w:hint="eastAsia" w:ascii="宋体" w:hAnsi="宋体" w:cs="宋体"/>
          <w:color w:val="auto"/>
          <w:highlight w:val="none"/>
        </w:rPr>
        <w:t>资料透露给任何人。</w:t>
      </w:r>
      <w:r>
        <w:rPr>
          <w:rFonts w:hint="eastAsia"/>
          <w:color w:val="auto"/>
          <w:szCs w:val="24"/>
          <w:highlight w:val="none"/>
          <w:lang w:val="en-US" w:eastAsia="zh-CN"/>
        </w:rPr>
        <w:t>若乙方</w:t>
      </w:r>
      <w:r>
        <w:rPr>
          <w:rFonts w:hint="eastAsia"/>
          <w:color w:val="auto"/>
          <w:szCs w:val="24"/>
          <w:highlight w:val="none"/>
        </w:rPr>
        <w:t>发现信息泄露风险需立即补救并及时报告甲方。</w:t>
      </w:r>
    </w:p>
    <w:p w14:paraId="44EB995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w:t>
      </w:r>
      <w:r>
        <w:rPr>
          <w:rFonts w:hint="eastAsia" w:ascii="宋体" w:hAnsi="宋体" w:cs="宋体"/>
          <w:color w:val="auto"/>
          <w:highlight w:val="none"/>
          <w:lang w:val="en-US" w:eastAsia="zh-CN"/>
        </w:rPr>
        <w:t>书面</w:t>
      </w:r>
      <w:r>
        <w:rPr>
          <w:rFonts w:hint="eastAsia" w:ascii="宋体" w:hAnsi="宋体" w:cs="宋体"/>
          <w:color w:val="auto"/>
          <w:highlight w:val="none"/>
        </w:rPr>
        <w:t>同意的情况下，乙方不得使用前款所列的任何文件和资料。</w:t>
      </w:r>
    </w:p>
    <w:p w14:paraId="3C616817">
      <w:pPr>
        <w:spacing w:line="360" w:lineRule="auto"/>
        <w:ind w:firstLine="420" w:firstLineChars="200"/>
        <w:rPr>
          <w:rFonts w:hint="eastAsia"/>
          <w:color w:val="auto"/>
          <w:highlight w:val="none"/>
        </w:rPr>
      </w:pPr>
      <w:r>
        <w:rPr>
          <w:rFonts w:hint="eastAsia"/>
          <w:b w:val="0"/>
          <w:bCs w:val="0"/>
          <w:color w:val="auto"/>
          <w:szCs w:val="24"/>
          <w:highlight w:val="none"/>
          <w:lang w:val="en-US" w:eastAsia="zh-CN"/>
        </w:rPr>
        <w:t>3</w:t>
      </w:r>
      <w:r>
        <w:rPr>
          <w:rFonts w:hint="eastAsia"/>
          <w:b w:val="0"/>
          <w:bCs w:val="0"/>
          <w:color w:val="auto"/>
          <w:szCs w:val="24"/>
          <w:highlight w:val="none"/>
        </w:rPr>
        <w:t>.</w:t>
      </w:r>
      <w:r>
        <w:rPr>
          <w:rFonts w:hint="eastAsia"/>
          <w:color w:val="auto"/>
          <w:szCs w:val="24"/>
          <w:highlight w:val="none"/>
          <w:lang w:val="en-US"/>
        </w:rPr>
        <w:t>如乙方</w:t>
      </w:r>
      <w:r>
        <w:rPr>
          <w:rFonts w:hint="eastAsia"/>
          <w:color w:val="auto"/>
          <w:szCs w:val="24"/>
          <w:highlight w:val="none"/>
        </w:rPr>
        <w:t>在事先未得到甲方书面同意的情况下使用</w:t>
      </w:r>
      <w:r>
        <w:rPr>
          <w:rFonts w:hint="eastAsia"/>
          <w:color w:val="auto"/>
          <w:szCs w:val="24"/>
          <w:highlight w:val="none"/>
          <w:lang w:val="en-US" w:eastAsia="zh-CN"/>
        </w:rPr>
        <w:t>或向任何第三人</w:t>
      </w:r>
      <w:r>
        <w:rPr>
          <w:rFonts w:hint="eastAsia"/>
          <w:color w:val="auto"/>
          <w:szCs w:val="24"/>
          <w:highlight w:val="none"/>
        </w:rPr>
        <w:t>透露前款所列的任何文件和资料，</w:t>
      </w:r>
      <w:r>
        <w:rPr>
          <w:rFonts w:hint="eastAsia"/>
          <w:color w:val="auto"/>
          <w:szCs w:val="24"/>
          <w:highlight w:val="none"/>
          <w:lang w:val="en-US" w:eastAsia="zh-CN"/>
        </w:rPr>
        <w:t>则</w:t>
      </w:r>
      <w:r>
        <w:rPr>
          <w:rFonts w:hint="eastAsia"/>
          <w:color w:val="auto"/>
          <w:szCs w:val="24"/>
          <w:highlight w:val="none"/>
          <w:lang w:val="en-US"/>
        </w:rPr>
        <w:t>乙方应负担由此而产生的一切损失。</w:t>
      </w:r>
    </w:p>
    <w:p w14:paraId="5B0E6940">
      <w:pPr>
        <w:rPr>
          <w:b/>
          <w:bCs/>
          <w:color w:val="auto"/>
          <w:highlight w:val="none"/>
        </w:rPr>
      </w:pPr>
      <w:r>
        <w:rPr>
          <w:rFonts w:hint="eastAsia"/>
          <w:b/>
          <w:bCs/>
          <w:color w:val="auto"/>
          <w:highlight w:val="none"/>
        </w:rPr>
        <w:t>第十五条 不可抗力事件处理</w:t>
      </w:r>
    </w:p>
    <w:p w14:paraId="2DEBC12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3FA9036">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FB77DA9">
      <w:pPr>
        <w:rPr>
          <w:b/>
          <w:bCs/>
          <w:color w:val="auto"/>
          <w:highlight w:val="none"/>
        </w:rPr>
      </w:pPr>
      <w:r>
        <w:rPr>
          <w:rFonts w:hint="eastAsia"/>
          <w:b/>
          <w:bCs/>
          <w:color w:val="auto"/>
          <w:highlight w:val="none"/>
        </w:rPr>
        <w:t>第十六条 合同纠纷调处</w:t>
      </w:r>
    </w:p>
    <w:p w14:paraId="5F8AF6E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3C30A58E">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.本合同如发生纠纷，当事人双方应当及时协商解决，协商不成时，任何一方均可请本项目政府采购监督管理部门调解，调解不成，按以下第（②）项方式处理：①根据《中华人民共和国仲裁法》的规定向</w:t>
      </w:r>
      <w:r>
        <w:rPr>
          <w:rFonts w:hint="eastAsia" w:ascii="宋体" w:hAnsi="宋体" w:cs="宋体"/>
          <w:b/>
          <w:bCs/>
          <w:color w:val="auto"/>
          <w:szCs w:val="27"/>
          <w:highlight w:val="none"/>
          <w:u w:val="single"/>
        </w:rPr>
        <w:t>周口仲裁委员会</w:t>
      </w:r>
      <w:r>
        <w:rPr>
          <w:rFonts w:hint="eastAsia" w:ascii="宋体" w:hAnsi="宋体" w:cs="宋体"/>
          <w:color w:val="auto"/>
          <w:szCs w:val="27"/>
          <w:highlight w:val="none"/>
        </w:rPr>
        <w:t>申请仲裁。②向</w:t>
      </w:r>
      <w:r>
        <w:rPr>
          <w:rFonts w:hint="eastAsia" w:ascii="宋体" w:hAnsi="宋体" w:cs="宋体"/>
          <w:color w:val="auto"/>
          <w:szCs w:val="27"/>
          <w:highlight w:val="none"/>
          <w:lang w:val="en-US" w:eastAsia="zh-CN"/>
        </w:rPr>
        <w:t>甲方所在地</w:t>
      </w:r>
      <w:r>
        <w:rPr>
          <w:rFonts w:hint="eastAsia" w:ascii="宋体" w:hAnsi="宋体" w:cs="宋体"/>
          <w:color w:val="auto"/>
          <w:highlight w:val="none"/>
        </w:rPr>
        <w:t>有管辖权的</w:t>
      </w:r>
      <w:r>
        <w:rPr>
          <w:rFonts w:hint="eastAsia" w:ascii="宋体" w:hAnsi="宋体" w:cs="宋体"/>
          <w:color w:val="auto"/>
          <w:szCs w:val="27"/>
          <w:highlight w:val="none"/>
        </w:rPr>
        <w:t>人民法院起诉。</w:t>
      </w:r>
    </w:p>
    <w:p w14:paraId="3EDE889A">
      <w:pPr>
        <w:keepNext w:val="0"/>
        <w:keepLines w:val="0"/>
        <w:pageBreakBefore w:val="0"/>
        <w:widowControl w:val="0"/>
        <w:kinsoku/>
        <w:wordWrap/>
        <w:overflowPunct/>
        <w:topLinePunct w:val="0"/>
        <w:autoSpaceDE w:val="0"/>
        <w:autoSpaceDN w:val="0"/>
        <w:bidi w:val="0"/>
        <w:adjustRightInd/>
        <w:snapToGrid/>
        <w:spacing w:line="560" w:lineRule="exact"/>
        <w:ind w:firstLine="420" w:firstLineChars="200"/>
        <w:jc w:val="both"/>
        <w:textAlignment w:val="auto"/>
        <w:rPr>
          <w:rFonts w:hint="eastAsia"/>
          <w:color w:val="auto"/>
          <w:highlight w:val="none"/>
        </w:rPr>
      </w:pPr>
      <w:r>
        <w:rPr>
          <w:rFonts w:hint="eastAsia"/>
          <w:color w:val="auto"/>
          <w:highlight w:val="none"/>
        </w:rPr>
        <w:t>3、甲、乙双方均有权利向本项目具有监管职能的政府采购监督管理部门举报反映对方在合同履约中的违法违纪行为。</w:t>
      </w:r>
    </w:p>
    <w:p w14:paraId="14A9B6D2">
      <w:pPr>
        <w:keepNext w:val="0"/>
        <w:keepLines w:val="0"/>
        <w:pageBreakBefore w:val="0"/>
        <w:widowControl w:val="0"/>
        <w:kinsoku/>
        <w:wordWrap/>
        <w:overflowPunct/>
        <w:topLinePunct w:val="0"/>
        <w:autoSpaceDE w:val="0"/>
        <w:autoSpaceDN w:val="0"/>
        <w:bidi w:val="0"/>
        <w:adjustRightInd/>
        <w:snapToGrid/>
        <w:spacing w:line="560" w:lineRule="exact"/>
        <w:ind w:firstLine="420" w:firstLineChars="200"/>
        <w:jc w:val="both"/>
        <w:textAlignment w:val="auto"/>
        <w:rPr>
          <w:rFonts w:hint="eastAsia" w:eastAsia="宋体"/>
          <w:b w:val="0"/>
          <w:bCs w:val="0"/>
          <w:color w:val="auto"/>
          <w:szCs w:val="24"/>
          <w:highlight w:val="none"/>
          <w:lang w:val="en-US" w:eastAsia="zh-CN"/>
        </w:rPr>
      </w:pPr>
      <w:r>
        <w:rPr>
          <w:rFonts w:hint="eastAsia"/>
          <w:b w:val="0"/>
          <w:bCs w:val="0"/>
          <w:color w:val="auto"/>
          <w:szCs w:val="24"/>
          <w:highlight w:val="none"/>
          <w:lang w:val="en-US" w:eastAsia="zh-CN"/>
        </w:rPr>
        <w:t>4、守约方为主张权利而支出的包括但不限于诉讼费、保全费、保险费、律师费、公告费、鉴定费等各项费用均应当由违约方承担。</w:t>
      </w:r>
    </w:p>
    <w:p w14:paraId="39A7D2E0">
      <w:pPr>
        <w:keepNext w:val="0"/>
        <w:keepLines w:val="0"/>
        <w:pageBreakBefore w:val="0"/>
        <w:widowControl w:val="0"/>
        <w:kinsoku/>
        <w:wordWrap/>
        <w:overflowPunct/>
        <w:topLinePunct w:val="0"/>
        <w:autoSpaceDE w:val="0"/>
        <w:autoSpaceDN w:val="0"/>
        <w:bidi w:val="0"/>
        <w:adjustRightInd/>
        <w:snapToGrid/>
        <w:spacing w:line="560" w:lineRule="exact"/>
        <w:ind w:firstLine="420" w:firstLineChars="200"/>
        <w:jc w:val="both"/>
        <w:textAlignment w:val="auto"/>
        <w:rPr>
          <w:rFonts w:hint="eastAsia"/>
          <w:b w:val="0"/>
          <w:bCs w:val="0"/>
          <w:color w:val="auto"/>
          <w:szCs w:val="24"/>
          <w:highlight w:val="none"/>
          <w:lang w:val="en-US" w:eastAsia="zh-CN"/>
        </w:rPr>
      </w:pPr>
      <w:r>
        <w:rPr>
          <w:rFonts w:hint="eastAsia"/>
          <w:b w:val="0"/>
          <w:bCs w:val="0"/>
          <w:color w:val="auto"/>
          <w:szCs w:val="24"/>
          <w:highlight w:val="none"/>
          <w:lang w:val="en-US" w:eastAsia="zh-CN"/>
        </w:rPr>
        <w:t>5、甲乙双方一致确认，以下地址为各方合同履行、争议解决（包括但不限于协商、调解、仲裁、诉讼等）过程中各类法律文件、通知、函件的法定送达地址：</w:t>
      </w:r>
    </w:p>
    <w:p w14:paraId="5DFE7EC7">
      <w:pPr>
        <w:keepNext w:val="0"/>
        <w:keepLines w:val="0"/>
        <w:pageBreakBefore w:val="0"/>
        <w:widowControl w:val="0"/>
        <w:kinsoku/>
        <w:wordWrap/>
        <w:overflowPunct/>
        <w:topLinePunct w:val="0"/>
        <w:autoSpaceDE w:val="0"/>
        <w:autoSpaceDN w:val="0"/>
        <w:bidi w:val="0"/>
        <w:adjustRightInd/>
        <w:snapToGrid/>
        <w:spacing w:line="560" w:lineRule="exact"/>
        <w:ind w:firstLine="420" w:firstLineChars="200"/>
        <w:jc w:val="both"/>
        <w:textAlignment w:val="auto"/>
        <w:rPr>
          <w:rFonts w:hint="eastAsia"/>
          <w:b w:val="0"/>
          <w:bCs w:val="0"/>
          <w:color w:val="auto"/>
          <w:szCs w:val="24"/>
          <w:highlight w:val="none"/>
          <w:lang w:val="en-US" w:eastAsia="zh-CN"/>
        </w:rPr>
      </w:pPr>
      <w:r>
        <w:rPr>
          <w:rFonts w:hint="eastAsia"/>
          <w:b w:val="0"/>
          <w:bCs w:val="0"/>
          <w:color w:val="auto"/>
          <w:szCs w:val="24"/>
          <w:highlight w:val="none"/>
          <w:lang w:val="en-US" w:eastAsia="zh-CN"/>
        </w:rPr>
        <w:t>甲方送达地址：</w:t>
      </w:r>
      <w:r>
        <w:rPr>
          <w:rFonts w:hint="eastAsia"/>
          <w:b w:val="0"/>
          <w:bCs w:val="0"/>
          <w:color w:val="auto"/>
          <w:szCs w:val="24"/>
          <w:highlight w:val="none"/>
          <w:u w:val="single"/>
          <w:lang w:val="en-US" w:eastAsia="zh-CN"/>
        </w:rPr>
        <w:t xml:space="preserve">             </w:t>
      </w:r>
      <w:r>
        <w:rPr>
          <w:rFonts w:hint="eastAsia"/>
          <w:b w:val="0"/>
          <w:bCs w:val="0"/>
          <w:color w:val="auto"/>
          <w:szCs w:val="24"/>
          <w:highlight w:val="none"/>
          <w:lang w:val="en-US" w:eastAsia="zh-CN"/>
        </w:rPr>
        <w:t>，收件人：</w:t>
      </w:r>
      <w:r>
        <w:rPr>
          <w:rFonts w:hint="eastAsia"/>
          <w:b w:val="0"/>
          <w:bCs w:val="0"/>
          <w:color w:val="auto"/>
          <w:szCs w:val="24"/>
          <w:highlight w:val="none"/>
          <w:u w:val="single"/>
          <w:lang w:val="en-US" w:eastAsia="zh-CN"/>
        </w:rPr>
        <w:t xml:space="preserve">     </w:t>
      </w:r>
      <w:r>
        <w:rPr>
          <w:rFonts w:hint="eastAsia"/>
          <w:b w:val="0"/>
          <w:bCs w:val="0"/>
          <w:color w:val="auto"/>
          <w:szCs w:val="24"/>
          <w:highlight w:val="none"/>
          <w:lang w:val="en-US" w:eastAsia="zh-CN"/>
        </w:rPr>
        <w:t>，联系电话：</w:t>
      </w:r>
      <w:r>
        <w:rPr>
          <w:rFonts w:hint="eastAsia"/>
          <w:b w:val="0"/>
          <w:bCs w:val="0"/>
          <w:color w:val="auto"/>
          <w:szCs w:val="24"/>
          <w:highlight w:val="none"/>
          <w:u w:val="single"/>
          <w:lang w:val="en-US" w:eastAsia="zh-CN"/>
        </w:rPr>
        <w:t xml:space="preserve">         </w:t>
      </w:r>
    </w:p>
    <w:p w14:paraId="211A20A3">
      <w:pPr>
        <w:keepNext w:val="0"/>
        <w:keepLines w:val="0"/>
        <w:pageBreakBefore w:val="0"/>
        <w:widowControl w:val="0"/>
        <w:kinsoku/>
        <w:wordWrap/>
        <w:overflowPunct/>
        <w:topLinePunct w:val="0"/>
        <w:autoSpaceDE w:val="0"/>
        <w:autoSpaceDN w:val="0"/>
        <w:bidi w:val="0"/>
        <w:adjustRightInd/>
        <w:snapToGrid/>
        <w:spacing w:line="560" w:lineRule="exact"/>
        <w:ind w:firstLine="420" w:firstLineChars="200"/>
        <w:jc w:val="both"/>
        <w:textAlignment w:val="auto"/>
        <w:rPr>
          <w:rFonts w:hint="eastAsia"/>
          <w:b w:val="0"/>
          <w:bCs w:val="0"/>
          <w:color w:val="auto"/>
          <w:szCs w:val="24"/>
          <w:highlight w:val="none"/>
          <w:lang w:val="en-US" w:eastAsia="zh-CN"/>
        </w:rPr>
      </w:pPr>
      <w:r>
        <w:rPr>
          <w:rFonts w:hint="eastAsia"/>
          <w:b w:val="0"/>
          <w:bCs w:val="0"/>
          <w:color w:val="auto"/>
          <w:szCs w:val="24"/>
          <w:highlight w:val="none"/>
          <w:lang w:val="en-US" w:eastAsia="zh-CN"/>
        </w:rPr>
        <w:t>乙方送达地址：</w:t>
      </w:r>
      <w:r>
        <w:rPr>
          <w:rFonts w:hint="eastAsia"/>
          <w:b w:val="0"/>
          <w:bCs w:val="0"/>
          <w:color w:val="auto"/>
          <w:szCs w:val="24"/>
          <w:highlight w:val="none"/>
          <w:u w:val="single"/>
          <w:lang w:val="en-US" w:eastAsia="zh-CN"/>
        </w:rPr>
        <w:t xml:space="preserve">             </w:t>
      </w:r>
      <w:r>
        <w:rPr>
          <w:rFonts w:hint="eastAsia"/>
          <w:b w:val="0"/>
          <w:bCs w:val="0"/>
          <w:color w:val="auto"/>
          <w:szCs w:val="24"/>
          <w:highlight w:val="none"/>
          <w:lang w:val="en-US" w:eastAsia="zh-CN"/>
        </w:rPr>
        <w:t>，收件人：</w:t>
      </w:r>
      <w:r>
        <w:rPr>
          <w:rFonts w:hint="eastAsia"/>
          <w:b w:val="0"/>
          <w:bCs w:val="0"/>
          <w:color w:val="auto"/>
          <w:szCs w:val="24"/>
          <w:highlight w:val="none"/>
          <w:u w:val="single"/>
          <w:lang w:val="en-US" w:eastAsia="zh-CN"/>
        </w:rPr>
        <w:t xml:space="preserve">     </w:t>
      </w:r>
      <w:r>
        <w:rPr>
          <w:rFonts w:hint="eastAsia"/>
          <w:b w:val="0"/>
          <w:bCs w:val="0"/>
          <w:color w:val="auto"/>
          <w:szCs w:val="24"/>
          <w:highlight w:val="none"/>
          <w:lang w:val="en-US" w:eastAsia="zh-CN"/>
        </w:rPr>
        <w:t>，联系电话：</w:t>
      </w:r>
      <w:r>
        <w:rPr>
          <w:rFonts w:hint="eastAsia"/>
          <w:b w:val="0"/>
          <w:bCs w:val="0"/>
          <w:color w:val="auto"/>
          <w:szCs w:val="24"/>
          <w:highlight w:val="none"/>
          <w:u w:val="single"/>
          <w:lang w:val="en-US" w:eastAsia="zh-CN"/>
        </w:rPr>
        <w:t xml:space="preserve">         </w:t>
      </w:r>
    </w:p>
    <w:p w14:paraId="5C82A4DB">
      <w:pPr>
        <w:keepNext w:val="0"/>
        <w:keepLines w:val="0"/>
        <w:pageBreakBefore w:val="0"/>
        <w:widowControl w:val="0"/>
        <w:kinsoku/>
        <w:wordWrap/>
        <w:overflowPunct/>
        <w:topLinePunct w:val="0"/>
        <w:autoSpaceDE w:val="0"/>
        <w:autoSpaceDN w:val="0"/>
        <w:bidi w:val="0"/>
        <w:adjustRightInd/>
        <w:snapToGrid/>
        <w:spacing w:line="560" w:lineRule="exact"/>
        <w:ind w:firstLine="420" w:firstLineChars="200"/>
        <w:jc w:val="both"/>
        <w:textAlignment w:val="auto"/>
        <w:rPr>
          <w:color w:val="auto"/>
          <w:highlight w:val="none"/>
        </w:rPr>
      </w:pPr>
      <w:r>
        <w:rPr>
          <w:rFonts w:hint="eastAsia"/>
          <w:b w:val="0"/>
          <w:bCs w:val="0"/>
          <w:color w:val="auto"/>
          <w:szCs w:val="24"/>
          <w:highlight w:val="none"/>
          <w:lang w:val="en-US" w:eastAsia="zh-CN"/>
        </w:rPr>
        <w:t>前述送达地址及联系方式涵盖合同履行全周期，包括合同订立、履行、变更、解除及后续争议处理的一审、二审、再审、执行等全部法律程序，各方均认可该地址的法律效力，以中国邮政EMS或双方认可的其他快递方式寄送，即使邮件被退回、拒收、无人签收，仍视为已有效送达。任何一方如需变更送达地址，应提前7个工作日以书面形式（需加盖公章/签字确认）通知对方，通知需明确新的送达地址、收件人及联系方式，变更自对方收到通知之日起生效。若一方未按约定履行地址变更通知义务，或变更后地址不明确、无法送达，原确认的送达地址仍视为有效送达地址，由此产生的文书无法送达、送达延误等法律后果由该方自行承担。</w:t>
      </w:r>
    </w:p>
    <w:p w14:paraId="5A676F68">
      <w:pPr>
        <w:spacing w:line="360" w:lineRule="auto"/>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第十七条 其他</w:t>
      </w:r>
    </w:p>
    <w:p w14:paraId="69B4142F">
      <w:pPr>
        <w:spacing w:line="360" w:lineRule="auto"/>
        <w:ind w:firstLine="422" w:firstLineChars="200"/>
        <w:rPr>
          <w:rFonts w:hint="eastAsia" w:ascii="宋体" w:hAnsi="宋体" w:cs="宋体"/>
          <w:color w:val="auto"/>
          <w:sz w:val="21"/>
          <w:szCs w:val="21"/>
          <w:highlight w:val="none"/>
        </w:rPr>
      </w:pPr>
      <w:r>
        <w:rPr>
          <w:rFonts w:hint="eastAsia" w:ascii="宋体" w:hAnsi="宋体" w:cs="宋体"/>
          <w:b/>
          <w:bCs/>
          <w:color w:val="auto"/>
          <w:szCs w:val="27"/>
          <w:highlight w:val="none"/>
        </w:rPr>
        <w:t xml:space="preserve"> </w:t>
      </w:r>
      <w:r>
        <w:rPr>
          <w:rFonts w:hint="eastAsia" w:ascii="宋体" w:hAnsi="宋体" w:cs="仿宋_GB2312"/>
          <w:color w:val="auto"/>
          <w:kern w:val="0"/>
          <w:sz w:val="21"/>
          <w:szCs w:val="21"/>
          <w:highlight w:val="none"/>
        </w:rPr>
        <w:t>按照采购人提供的采购服务需求清单进行设备升级改造，</w:t>
      </w:r>
      <w:r>
        <w:rPr>
          <w:rFonts w:hint="eastAsia" w:ascii="宋体" w:hAnsi="宋体" w:cs="宋体"/>
          <w:color w:val="auto"/>
          <w:sz w:val="21"/>
          <w:szCs w:val="21"/>
          <w:highlight w:val="none"/>
        </w:rPr>
        <w:t>升级改造完成后，运维服务期三年，以实现“全域覆盖、全网共享、全时可用、全程可控 ”为总目标，提供服务范围内所有设备的运行维护服务，包括日常监控及巡检、故障诊断处理及维修、重大活动保障、系统升级及性能优化、资产管理、运维资料管理等，确保系统设备正常运行。对于目前仍处于免费质保期内的系统设备，配合制造商或集成商全面做好系统设备的售后服务，协助原厂工程师快速诊断、排除故障并恢复系统运行。</w:t>
      </w:r>
    </w:p>
    <w:p w14:paraId="40147509">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lang w:val="en-US" w:eastAsia="zh-CN"/>
        </w:rPr>
        <w:t>下列</w:t>
      </w:r>
      <w:r>
        <w:rPr>
          <w:rFonts w:hint="eastAsia" w:ascii="宋体" w:hAnsi="宋体" w:cs="宋体"/>
          <w:color w:val="auto"/>
          <w:szCs w:val="27"/>
          <w:highlight w:val="none"/>
        </w:rPr>
        <w:t>关于周口市公共资源交易中心政府采购代理机构名称</w:t>
      </w:r>
      <w:r>
        <w:rPr>
          <w:rFonts w:hint="eastAsia" w:ascii="宋体" w:hAnsi="宋体" w:cs="宋体"/>
          <w:color w:val="auto"/>
          <w:sz w:val="21"/>
          <w:szCs w:val="21"/>
          <w:highlight w:val="none"/>
          <w:u w:val="single"/>
        </w:rPr>
        <w:t>周口市公安局高速卡口信息化升级改造及运维项目</w:t>
      </w:r>
      <w:r>
        <w:rPr>
          <w:rFonts w:hint="eastAsia" w:ascii="宋体" w:hAnsi="宋体" w:cs="宋体"/>
          <w:color w:val="auto"/>
          <w:szCs w:val="27"/>
          <w:highlight w:val="none"/>
          <w:u w:val="single"/>
        </w:rPr>
        <w:t>（项目编号：</w:t>
      </w:r>
      <w:r>
        <w:rPr>
          <w:rFonts w:hint="eastAsia" w:ascii="宋体" w:hAnsi="宋体" w:cs="宋体"/>
          <w:color w:val="auto"/>
          <w:sz w:val="21"/>
          <w:szCs w:val="21"/>
          <w:highlight w:val="none"/>
          <w:u w:val="single"/>
        </w:rPr>
        <w:t>周财招标采购-2025-54</w:t>
      </w:r>
      <w:r>
        <w:rPr>
          <w:rFonts w:hint="eastAsia" w:ascii="宋体" w:hAnsi="宋体" w:cs="宋体"/>
          <w:color w:val="auto"/>
          <w:szCs w:val="27"/>
          <w:highlight w:val="none"/>
          <w:u w:val="single"/>
        </w:rPr>
        <w:t>）</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416EA4D">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w:t>
      </w:r>
      <w:r>
        <w:rPr>
          <w:rFonts w:hint="eastAsia"/>
          <w:color w:val="auto"/>
          <w:szCs w:val="24"/>
          <w:highlight w:val="none"/>
          <w:lang w:eastAsia="zh-CN"/>
        </w:rPr>
        <w:t>的</w:t>
      </w:r>
      <w:r>
        <w:rPr>
          <w:rFonts w:hint="eastAsia" w:asciiTheme="minorEastAsia" w:hAnsiTheme="minorEastAsia" w:eastAsiaTheme="minorEastAsia"/>
          <w:color w:val="auto"/>
          <w:szCs w:val="27"/>
          <w:highlight w:val="none"/>
        </w:rPr>
        <w:t>法定代表人</w:t>
      </w:r>
      <w:r>
        <w:rPr>
          <w:rFonts w:hint="eastAsia" w:asciiTheme="minorEastAsia" w:hAnsiTheme="minorEastAsia" w:eastAsiaTheme="minorEastAsia"/>
          <w:color w:val="auto"/>
          <w:szCs w:val="27"/>
          <w:highlight w:val="none"/>
          <w:lang w:val="en-US" w:eastAsia="zh-CN"/>
        </w:rPr>
        <w:t>或</w:t>
      </w:r>
      <w:r>
        <w:rPr>
          <w:rFonts w:hint="eastAsia" w:asciiTheme="minorEastAsia" w:hAnsiTheme="minorEastAsia" w:eastAsiaTheme="minorEastAsia"/>
          <w:color w:val="auto"/>
          <w:szCs w:val="27"/>
          <w:highlight w:val="none"/>
        </w:rPr>
        <w:t>委托代理人</w:t>
      </w:r>
      <w:r>
        <w:rPr>
          <w:rFonts w:hint="eastAsia"/>
          <w:color w:val="auto"/>
          <w:szCs w:val="24"/>
          <w:highlight w:val="none"/>
        </w:rPr>
        <w:t>签字</w:t>
      </w:r>
      <w:r>
        <w:rPr>
          <w:rFonts w:hint="eastAsia"/>
          <w:color w:val="auto"/>
          <w:szCs w:val="24"/>
          <w:highlight w:val="none"/>
          <w:lang w:eastAsia="zh-CN"/>
        </w:rPr>
        <w:t>并加</w:t>
      </w:r>
      <w:r>
        <w:rPr>
          <w:rFonts w:hint="eastAsia"/>
          <w:color w:val="auto"/>
          <w:szCs w:val="24"/>
          <w:highlight w:val="none"/>
        </w:rPr>
        <w:t>盖</w:t>
      </w:r>
      <w:r>
        <w:rPr>
          <w:rFonts w:hint="eastAsia"/>
          <w:color w:val="auto"/>
          <w:szCs w:val="24"/>
          <w:highlight w:val="none"/>
          <w:lang w:val="en-US" w:eastAsia="zh-CN"/>
        </w:rPr>
        <w:t>单位公</w:t>
      </w:r>
      <w:r>
        <w:rPr>
          <w:rFonts w:hint="eastAsia"/>
          <w:color w:val="auto"/>
          <w:szCs w:val="24"/>
          <w:highlight w:val="none"/>
        </w:rPr>
        <w:t>章</w:t>
      </w:r>
      <w:r>
        <w:rPr>
          <w:rFonts w:hint="eastAsia" w:ascii="宋体" w:hAnsi="宋体" w:cs="宋体"/>
          <w:color w:val="auto"/>
          <w:highlight w:val="none"/>
        </w:rPr>
        <w:t>签字盖章之日起生效。</w:t>
      </w:r>
    </w:p>
    <w:p w14:paraId="5193DF10">
      <w:pPr>
        <w:spacing w:line="360" w:lineRule="auto"/>
        <w:ind w:firstLine="420" w:firstLineChars="200"/>
        <w:rPr>
          <w:rFonts w:hint="eastAsia" w:ascii="宋体" w:hAnsi="宋体" w:cs="宋体"/>
          <w:color w:val="auto"/>
          <w:szCs w:val="27"/>
          <w:highlight w:val="none"/>
        </w:rPr>
      </w:pPr>
    </w:p>
    <w:p w14:paraId="3B9DCCEF">
      <w:pPr>
        <w:pStyle w:val="2"/>
        <w:ind w:firstLine="210"/>
        <w:rPr>
          <w:rFonts w:hint="eastAsia" w:ascii="宋体" w:hAnsi="宋体" w:cs="宋体"/>
          <w:color w:val="auto"/>
          <w:highlight w:val="none"/>
        </w:rPr>
      </w:pPr>
    </w:p>
    <w:p w14:paraId="4AEB352F">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54E55505">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地址：                               地址：</w:t>
      </w:r>
    </w:p>
    <w:p w14:paraId="31229ECD">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法定代表人：                         法定代表人或负责人：</w:t>
      </w:r>
    </w:p>
    <w:p w14:paraId="1E7AD495">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szCs w:val="27"/>
          <w:highlight w:val="none"/>
        </w:rPr>
        <w:t>委托代理人：                         委托代理人：</w:t>
      </w:r>
    </w:p>
    <w:p w14:paraId="5FE2C23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电话：                               电话：</w:t>
      </w:r>
    </w:p>
    <w:p w14:paraId="69297900">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开户银行：                           开户银行：</w:t>
      </w:r>
    </w:p>
    <w:p w14:paraId="6A1C5A7D">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账号：                               账号：</w:t>
      </w:r>
    </w:p>
    <w:p w14:paraId="702E60EA">
      <w:pPr>
        <w:spacing w:line="640" w:lineRule="exact"/>
        <w:ind w:firstLine="420" w:firstLineChars="200"/>
        <w:rPr>
          <w:rFonts w:hint="eastAsia" w:ascii="宋体" w:hAnsi="宋体" w:cs="宋体"/>
          <w:color w:val="auto"/>
          <w:szCs w:val="27"/>
          <w:highlight w:val="none"/>
          <w:u w:val="single"/>
        </w:rPr>
      </w:pPr>
    </w:p>
    <w:p w14:paraId="48C82F49">
      <w:pPr>
        <w:rPr>
          <w:rFonts w:hint="eastAsia" w:ascii="宋体" w:hAnsi="宋体" w:cs="宋体"/>
          <w:color w:val="auto"/>
          <w:szCs w:val="27"/>
          <w:highlight w:val="none"/>
        </w:rPr>
      </w:pP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lang w:val="en-US" w:eastAsia="zh-CN"/>
        </w:rPr>
        <w:t xml:space="preserve">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u w:val="single"/>
          <w:lang w:val="en-US" w:eastAsia="zh-CN"/>
        </w:rPr>
        <w:t xml:space="preserve">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p>
    <w:p w14:paraId="75C83060">
      <w:pPr>
        <w:pStyle w:val="2"/>
        <w:rPr>
          <w:rFonts w:hint="eastAsia" w:ascii="宋体" w:hAnsi="宋体" w:cs="宋体"/>
          <w:color w:val="auto"/>
          <w:szCs w:val="27"/>
          <w:highlight w:val="none"/>
        </w:rPr>
      </w:pPr>
    </w:p>
    <w:p w14:paraId="6050638B">
      <w:pPr>
        <w:pStyle w:val="2"/>
        <w:rPr>
          <w:rFonts w:hint="eastAsia" w:ascii="宋体" w:hAnsi="宋体" w:cs="宋体"/>
          <w:color w:val="auto"/>
          <w:szCs w:val="27"/>
          <w:highlight w:val="none"/>
        </w:rPr>
      </w:pPr>
    </w:p>
    <w:p w14:paraId="2A41899D">
      <w:pPr>
        <w:pStyle w:val="2"/>
        <w:rPr>
          <w:rFonts w:hint="eastAsia" w:ascii="宋体" w:hAnsi="宋体" w:cs="宋体"/>
          <w:color w:val="auto"/>
          <w:szCs w:val="27"/>
          <w:highlight w:val="none"/>
        </w:rPr>
      </w:pPr>
    </w:p>
    <w:p w14:paraId="2AEF5733">
      <w:pPr>
        <w:pStyle w:val="2"/>
        <w:rPr>
          <w:rFonts w:hint="eastAsia" w:ascii="宋体" w:hAnsi="宋体" w:cs="宋体"/>
          <w:color w:val="auto"/>
          <w:szCs w:val="27"/>
          <w:highlight w:val="none"/>
        </w:rPr>
      </w:pPr>
    </w:p>
    <w:p w14:paraId="630A6C09">
      <w:pPr>
        <w:pStyle w:val="2"/>
        <w:ind w:left="0" w:leftChars="0" w:firstLine="0" w:firstLineChars="0"/>
        <w:rPr>
          <w:rFonts w:hint="eastAsia" w:ascii="宋体" w:hAnsi="宋体" w:cs="宋体"/>
          <w:color w:val="auto"/>
          <w:szCs w:val="27"/>
          <w:highlight w:val="none"/>
        </w:rPr>
      </w:pPr>
    </w:p>
    <w:p w14:paraId="64314CBA">
      <w:pPr>
        <w:pStyle w:val="2"/>
        <w:ind w:left="0" w:leftChars="0" w:firstLine="0" w:firstLineChars="0"/>
        <w:rPr>
          <w:rFonts w:hint="default" w:ascii="宋体" w:hAnsi="宋体" w:eastAsia="宋体" w:cs="宋体"/>
          <w:b/>
          <w:bCs/>
          <w:color w:val="auto"/>
          <w:sz w:val="44"/>
          <w:szCs w:val="44"/>
          <w:highlight w:val="none"/>
          <w:lang w:val="en-US" w:eastAsia="zh-CN"/>
        </w:rPr>
      </w:pPr>
      <w:r>
        <w:rPr>
          <w:rFonts w:hint="eastAsia" w:ascii="宋体" w:hAnsi="宋体" w:cs="宋体"/>
          <w:b/>
          <w:bCs/>
          <w:color w:val="auto"/>
          <w:sz w:val="44"/>
          <w:szCs w:val="44"/>
          <w:highlight w:val="none"/>
          <w:lang w:val="en-US" w:eastAsia="zh-CN"/>
        </w:rPr>
        <w:t>附件一：采购服务需求清单</w:t>
      </w:r>
    </w:p>
    <w:tbl>
      <w:tblPr>
        <w:tblStyle w:val="35"/>
        <w:tblW w:w="930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
        <w:gridCol w:w="1068"/>
        <w:gridCol w:w="6384"/>
        <w:gridCol w:w="720"/>
        <w:gridCol w:w="645"/>
      </w:tblGrid>
      <w:tr w14:paraId="08C7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92" w:type="dxa"/>
            <w:vMerge w:val="restart"/>
            <w:shd w:val="clear" w:color="FFFFFF" w:fill="FFFFFF"/>
            <w:vAlign w:val="center"/>
          </w:tcPr>
          <w:p w14:paraId="11E88822">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rPr>
              <w:t>序号</w:t>
            </w:r>
          </w:p>
        </w:tc>
        <w:tc>
          <w:tcPr>
            <w:tcW w:w="1068" w:type="dxa"/>
            <w:vMerge w:val="restart"/>
            <w:shd w:val="clear" w:color="FFFFFF" w:fill="FFFFFF"/>
            <w:vAlign w:val="center"/>
          </w:tcPr>
          <w:p w14:paraId="37C8B30D">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rPr>
              <w:t>设备名称</w:t>
            </w:r>
          </w:p>
        </w:tc>
        <w:tc>
          <w:tcPr>
            <w:tcW w:w="6384" w:type="dxa"/>
            <w:vMerge w:val="restart"/>
            <w:shd w:val="clear" w:color="FFFFFF" w:fill="FFFFFF"/>
            <w:vAlign w:val="center"/>
          </w:tcPr>
          <w:p w14:paraId="1B035F82">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rPr>
              <w:t>主要技术参数</w:t>
            </w:r>
          </w:p>
        </w:tc>
        <w:tc>
          <w:tcPr>
            <w:tcW w:w="720" w:type="dxa"/>
            <w:vMerge w:val="restart"/>
            <w:shd w:val="clear" w:color="FFFFFF" w:fill="FFFFFF"/>
            <w:vAlign w:val="center"/>
          </w:tcPr>
          <w:p w14:paraId="763CA6C9">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rPr>
              <w:t>计量</w:t>
            </w:r>
            <w:r>
              <w:rPr>
                <w:rFonts w:hint="eastAsia" w:ascii="宋体" w:hAnsi="宋体" w:cs="宋体"/>
                <w:b/>
                <w:bCs/>
                <w:color w:val="auto"/>
                <w:kern w:val="0"/>
                <w:szCs w:val="21"/>
                <w:highlight w:val="none"/>
              </w:rPr>
              <w:br w:type="textWrapping"/>
            </w:r>
            <w:r>
              <w:rPr>
                <w:rFonts w:hint="eastAsia" w:ascii="宋体" w:hAnsi="宋体" w:cs="宋体"/>
                <w:b/>
                <w:bCs/>
                <w:color w:val="auto"/>
                <w:kern w:val="0"/>
                <w:szCs w:val="21"/>
                <w:highlight w:val="none"/>
              </w:rPr>
              <w:t>单位</w:t>
            </w:r>
          </w:p>
        </w:tc>
        <w:tc>
          <w:tcPr>
            <w:tcW w:w="645" w:type="dxa"/>
            <w:vMerge w:val="restart"/>
            <w:shd w:val="clear" w:color="FFFFFF" w:fill="FFFFFF"/>
            <w:vAlign w:val="center"/>
          </w:tcPr>
          <w:p w14:paraId="1241A111">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rPr>
              <w:t>数量</w:t>
            </w:r>
          </w:p>
        </w:tc>
      </w:tr>
      <w:tr w14:paraId="31FD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2" w:type="dxa"/>
            <w:vMerge w:val="continue"/>
            <w:shd w:val="clear" w:color="FFFFFF" w:fill="FFFFFF"/>
            <w:vAlign w:val="center"/>
          </w:tcPr>
          <w:p w14:paraId="25DC0589">
            <w:pPr>
              <w:jc w:val="center"/>
              <w:rPr>
                <w:rFonts w:hint="eastAsia" w:ascii="宋体" w:hAnsi="宋体" w:cs="宋体"/>
                <w:b/>
                <w:bCs/>
                <w:color w:val="auto"/>
                <w:szCs w:val="21"/>
                <w:highlight w:val="none"/>
              </w:rPr>
            </w:pPr>
          </w:p>
        </w:tc>
        <w:tc>
          <w:tcPr>
            <w:tcW w:w="1068" w:type="dxa"/>
            <w:vMerge w:val="continue"/>
            <w:shd w:val="clear" w:color="FFFFFF" w:fill="FFFFFF"/>
            <w:vAlign w:val="center"/>
          </w:tcPr>
          <w:p w14:paraId="456676F8">
            <w:pPr>
              <w:jc w:val="center"/>
              <w:rPr>
                <w:rFonts w:hint="eastAsia" w:ascii="宋体" w:hAnsi="宋体" w:cs="宋体"/>
                <w:b/>
                <w:bCs/>
                <w:color w:val="auto"/>
                <w:szCs w:val="21"/>
                <w:highlight w:val="none"/>
              </w:rPr>
            </w:pPr>
          </w:p>
        </w:tc>
        <w:tc>
          <w:tcPr>
            <w:tcW w:w="6384" w:type="dxa"/>
            <w:vMerge w:val="continue"/>
            <w:shd w:val="clear" w:color="FFFFFF" w:fill="FFFFFF"/>
            <w:vAlign w:val="center"/>
          </w:tcPr>
          <w:p w14:paraId="62C3963F">
            <w:pPr>
              <w:jc w:val="center"/>
              <w:rPr>
                <w:rFonts w:hint="eastAsia" w:ascii="宋体" w:hAnsi="宋体" w:cs="宋体"/>
                <w:b/>
                <w:bCs/>
                <w:color w:val="auto"/>
                <w:szCs w:val="21"/>
                <w:highlight w:val="none"/>
              </w:rPr>
            </w:pPr>
          </w:p>
        </w:tc>
        <w:tc>
          <w:tcPr>
            <w:tcW w:w="720" w:type="dxa"/>
            <w:vMerge w:val="continue"/>
            <w:shd w:val="clear" w:color="FFFFFF" w:fill="FFFFFF"/>
            <w:vAlign w:val="center"/>
          </w:tcPr>
          <w:p w14:paraId="36CC7197">
            <w:pPr>
              <w:jc w:val="center"/>
              <w:rPr>
                <w:rFonts w:hint="eastAsia" w:ascii="宋体" w:hAnsi="宋体" w:cs="宋体"/>
                <w:b/>
                <w:bCs/>
                <w:color w:val="auto"/>
                <w:szCs w:val="21"/>
                <w:highlight w:val="none"/>
              </w:rPr>
            </w:pPr>
          </w:p>
        </w:tc>
        <w:tc>
          <w:tcPr>
            <w:tcW w:w="645" w:type="dxa"/>
            <w:vMerge w:val="continue"/>
            <w:shd w:val="clear" w:color="FFFFFF" w:fill="FFFFFF"/>
            <w:vAlign w:val="center"/>
          </w:tcPr>
          <w:p w14:paraId="538028E6">
            <w:pPr>
              <w:jc w:val="center"/>
              <w:rPr>
                <w:rFonts w:hint="eastAsia" w:ascii="宋体" w:hAnsi="宋体" w:cs="宋体"/>
                <w:b/>
                <w:bCs/>
                <w:color w:val="auto"/>
                <w:szCs w:val="21"/>
                <w:highlight w:val="none"/>
              </w:rPr>
            </w:pPr>
          </w:p>
        </w:tc>
      </w:tr>
      <w:tr w14:paraId="61C80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2579D73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c>
          <w:tcPr>
            <w:tcW w:w="1068" w:type="dxa"/>
            <w:vAlign w:val="center"/>
          </w:tcPr>
          <w:p w14:paraId="1268949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环保抓拍单元</w:t>
            </w:r>
          </w:p>
        </w:tc>
        <w:tc>
          <w:tcPr>
            <w:tcW w:w="6384" w:type="dxa"/>
            <w:vAlign w:val="center"/>
          </w:tcPr>
          <w:p w14:paraId="5DE29F9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1、包含摄像机、室外防护罩、镜头、电源适配器等组成；</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2、像素≥900万；</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3、传感器CMOS≥1英寸；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4、支持自动采集车道、车流量、平均速度、车辆类型、占有率、平均车头时距、平均排队长度、时间段等交通信息数据并进行统计，支持自动上传采集的交通信息数据，上传时间间隔可设置；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5、支持安全异常监测并进行报警输出设置功能，包括非法可执行程序尝试运行、会话ID暴力破解，Web路径暴力破解；</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6、支持车牌识别功能：白天识别准确率≥99%；晚上识别准确率≥99%；</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7、支持车辆逆行检测抓拍功能， 白天捕获率≥99%； 晚上捕获率≥99%；</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8、支持通过视频触发进行车辆抓拍，支持车牌识别、车身颜色识别、车型识别，通行车辆信息捕获和违章检测功能；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9、支持防火墙设置，只允许特定IP、MAC 地址，特定设备端口进行访问，并具有防半连接，网络访问，禁止ping功能；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10、支持GB 35114。</w:t>
            </w:r>
          </w:p>
        </w:tc>
        <w:tc>
          <w:tcPr>
            <w:tcW w:w="720" w:type="dxa"/>
            <w:vAlign w:val="center"/>
          </w:tcPr>
          <w:p w14:paraId="68AEA17C">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10725B5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161</w:t>
            </w:r>
          </w:p>
        </w:tc>
      </w:tr>
      <w:tr w14:paraId="3F62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37E3CD8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w:t>
            </w:r>
          </w:p>
        </w:tc>
        <w:tc>
          <w:tcPr>
            <w:tcW w:w="1068" w:type="dxa"/>
            <w:vAlign w:val="center"/>
          </w:tcPr>
          <w:p w14:paraId="20CF6B84">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防眩光补光灯</w:t>
            </w:r>
          </w:p>
        </w:tc>
        <w:tc>
          <w:tcPr>
            <w:tcW w:w="6384" w:type="dxa"/>
            <w:vAlign w:val="center"/>
          </w:tcPr>
          <w:p w14:paraId="505C628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1、集成LED和气体放电光源 ；</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2、支持暖光LED频闪、暖光LED爆闪、白光氙气爆闪、红外氙气爆闪四种模式；</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3、支持LED亮度等级0~99级可调；</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4、LED光源色温：3000K~6500K；</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5、在距离补光灯20米处，LED频闪亮度等级20级时，中心光斑的照度不得超过40lx；</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6、具备符合GA/T1202-2022《交通技术监控成像补光装置通用技术规范》的检测报告；</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7、眩光阈值增量(TI)值TI≤10%。</w:t>
            </w:r>
          </w:p>
        </w:tc>
        <w:tc>
          <w:tcPr>
            <w:tcW w:w="720" w:type="dxa"/>
            <w:vAlign w:val="center"/>
          </w:tcPr>
          <w:p w14:paraId="5204402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60F8FA21">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292</w:t>
            </w:r>
          </w:p>
        </w:tc>
      </w:tr>
      <w:tr w14:paraId="0192F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03D44CD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w:t>
            </w:r>
          </w:p>
        </w:tc>
        <w:tc>
          <w:tcPr>
            <w:tcW w:w="1068" w:type="dxa"/>
            <w:vAlign w:val="center"/>
          </w:tcPr>
          <w:p w14:paraId="05B65208">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智能终端管理设备</w:t>
            </w:r>
          </w:p>
        </w:tc>
        <w:tc>
          <w:tcPr>
            <w:tcW w:w="6384" w:type="dxa"/>
            <w:vAlign w:val="center"/>
          </w:tcPr>
          <w:p w14:paraId="24CAE11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1、内置≥8个10M/100M自适应以太网口，视频接入模式码流≥180Mbps；</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2、支持按图片类型区分设置显示内容和字体颜色、是否启用语音播报及播报内容，支持的图片类型有超速、违法变道、违法停车、违法倒车、逆行、压白线、有车占道；</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3、可添加IP摄像机≥4路，支持网络高清视频和图片同时接入， 总码率≥100Mbps；</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4、支持将1/2/3/4张原始图片进行合成，支持多种合成形状选择，图片顺序可任意修改；支持去除原始图片黑边；</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5、违法图片支持类型：未与前车保持安全距离；飙车；车牌污损；道路安全预警;交通事故；占用应急车道；手动抓拍；施工；路障；区域入侵；</w:t>
            </w:r>
          </w:p>
        </w:tc>
        <w:tc>
          <w:tcPr>
            <w:tcW w:w="720" w:type="dxa"/>
            <w:vAlign w:val="center"/>
          </w:tcPr>
          <w:p w14:paraId="77D5D85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3B1FA946">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79</w:t>
            </w:r>
          </w:p>
        </w:tc>
      </w:tr>
      <w:tr w14:paraId="2E606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18A3C3AB">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4</w:t>
            </w:r>
          </w:p>
        </w:tc>
        <w:tc>
          <w:tcPr>
            <w:tcW w:w="1068" w:type="dxa"/>
            <w:vAlign w:val="center"/>
          </w:tcPr>
          <w:p w14:paraId="0DB96EF3">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万向节支架</w:t>
            </w:r>
          </w:p>
        </w:tc>
        <w:tc>
          <w:tcPr>
            <w:tcW w:w="6384" w:type="dxa"/>
            <w:vAlign w:val="center"/>
          </w:tcPr>
          <w:p w14:paraId="64B71375">
            <w:pPr>
              <w:widowControl/>
              <w:jc w:val="left"/>
              <w:textAlignment w:val="center"/>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rPr>
              <w:t>1、适用范围:可配套交通一体化抓拍单元、补光灯、雷达安装；</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2、承重不低于10kg；</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3、安装方式:使用抱箍安装或者螺钉固定</w:t>
            </w:r>
            <w:r>
              <w:rPr>
                <w:rFonts w:hint="eastAsia" w:ascii="宋体" w:hAnsi="宋体" w:cs="宋体"/>
                <w:color w:val="auto"/>
                <w:kern w:val="0"/>
                <w:szCs w:val="21"/>
                <w:highlight w:val="none"/>
                <w:lang w:eastAsia="zh-CN"/>
              </w:rPr>
              <w:t>；</w:t>
            </w:r>
          </w:p>
        </w:tc>
        <w:tc>
          <w:tcPr>
            <w:tcW w:w="720" w:type="dxa"/>
            <w:vAlign w:val="center"/>
          </w:tcPr>
          <w:p w14:paraId="4CA3376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04CB780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453</w:t>
            </w:r>
          </w:p>
        </w:tc>
      </w:tr>
      <w:tr w14:paraId="29A13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492" w:type="dxa"/>
            <w:vAlign w:val="center"/>
          </w:tcPr>
          <w:p w14:paraId="2543E63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5</w:t>
            </w:r>
          </w:p>
        </w:tc>
        <w:tc>
          <w:tcPr>
            <w:tcW w:w="1068" w:type="dxa"/>
            <w:vAlign w:val="center"/>
          </w:tcPr>
          <w:p w14:paraId="6450DD1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抓拍机柱装支架</w:t>
            </w:r>
          </w:p>
        </w:tc>
        <w:tc>
          <w:tcPr>
            <w:tcW w:w="6384" w:type="dxa"/>
            <w:vAlign w:val="center"/>
          </w:tcPr>
          <w:p w14:paraId="431B3A40">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1、外观颜色：白色；</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2、承重不低于10kg；</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3、安装方式：柱装。</w:t>
            </w:r>
          </w:p>
        </w:tc>
        <w:tc>
          <w:tcPr>
            <w:tcW w:w="720" w:type="dxa"/>
            <w:vAlign w:val="center"/>
          </w:tcPr>
          <w:p w14:paraId="43B24E5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2193D04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453</w:t>
            </w:r>
          </w:p>
        </w:tc>
      </w:tr>
      <w:tr w14:paraId="7C5FC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3A8801A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6</w:t>
            </w:r>
          </w:p>
        </w:tc>
        <w:tc>
          <w:tcPr>
            <w:tcW w:w="1068" w:type="dxa"/>
            <w:vAlign w:val="center"/>
          </w:tcPr>
          <w:p w14:paraId="10C0773B">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智能球机</w:t>
            </w:r>
          </w:p>
        </w:tc>
        <w:tc>
          <w:tcPr>
            <w:tcW w:w="6384" w:type="dxa"/>
            <w:vAlign w:val="center"/>
          </w:tcPr>
          <w:p w14:paraId="0DE69BEC">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1、内置GPU芯片，支持深度学习算法，有效提升检测准确率；</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2、支持机动车、人脸、人体检测；支持优选；支持抓拍；支持上报最优的抓图机动车属性（车牌，车牌颜色 ，车辆类型，车身颜色，车标，车系/年款，遮阳板，安全带，抽烟，打电话，车内饰品，年检标志）；</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3、支持绊线入侵；支持区域入侵；支持穿越围栏；支持徘徊检测；支持物品遗留；支持物品搬移；支持快速移动；支持停车检测；支持人员聚集；支持联动跟踪；</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4、支持≥40倍光学变倍，16倍数字变倍；</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5、像素≥400万，CMOS传感器≥1/1.8英寸；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6、内置250米红外灯补光，采用倍率与红外灯功率匹配算法；</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7、支持透雾，雾天也能输出清晰、透彻的图像；</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8、支持陀螺仪防抖功能；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9、支持雨刷功能；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 xml:space="preserve">10、支持GB35114 </w:t>
            </w:r>
          </w:p>
        </w:tc>
        <w:tc>
          <w:tcPr>
            <w:tcW w:w="720" w:type="dxa"/>
            <w:vAlign w:val="center"/>
          </w:tcPr>
          <w:p w14:paraId="2A36AC5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212B8078">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69</w:t>
            </w:r>
          </w:p>
        </w:tc>
      </w:tr>
      <w:tr w14:paraId="67B6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00DF0D8B">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7</w:t>
            </w:r>
          </w:p>
        </w:tc>
        <w:tc>
          <w:tcPr>
            <w:tcW w:w="1068" w:type="dxa"/>
            <w:vAlign w:val="center"/>
          </w:tcPr>
          <w:p w14:paraId="7D67F003">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球机吊装支架</w:t>
            </w:r>
          </w:p>
        </w:tc>
        <w:tc>
          <w:tcPr>
            <w:tcW w:w="6384" w:type="dxa"/>
            <w:vAlign w:val="center"/>
          </w:tcPr>
          <w:p w14:paraId="0D5B3B96">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1、承重不低于7.0kg；</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2、安装方式：吊装；</w:t>
            </w:r>
          </w:p>
        </w:tc>
        <w:tc>
          <w:tcPr>
            <w:tcW w:w="720" w:type="dxa"/>
            <w:vAlign w:val="center"/>
          </w:tcPr>
          <w:p w14:paraId="359E5A76">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3F0D063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69</w:t>
            </w:r>
          </w:p>
        </w:tc>
      </w:tr>
      <w:tr w14:paraId="4F66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92" w:type="dxa"/>
            <w:vAlign w:val="center"/>
          </w:tcPr>
          <w:p w14:paraId="72CBF697">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8</w:t>
            </w:r>
          </w:p>
        </w:tc>
        <w:tc>
          <w:tcPr>
            <w:tcW w:w="1068" w:type="dxa"/>
            <w:vAlign w:val="center"/>
          </w:tcPr>
          <w:p w14:paraId="5AE175C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球机柱装支架</w:t>
            </w:r>
          </w:p>
        </w:tc>
        <w:tc>
          <w:tcPr>
            <w:tcW w:w="6384" w:type="dxa"/>
            <w:vAlign w:val="center"/>
          </w:tcPr>
          <w:p w14:paraId="5765E5F5">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1、承重不低于7.0kg；</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2、安装方式：柱装；</w:t>
            </w:r>
          </w:p>
        </w:tc>
        <w:tc>
          <w:tcPr>
            <w:tcW w:w="720" w:type="dxa"/>
            <w:vAlign w:val="center"/>
          </w:tcPr>
          <w:p w14:paraId="08F7A9C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754DD810">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69</w:t>
            </w:r>
          </w:p>
        </w:tc>
      </w:tr>
      <w:tr w14:paraId="4B9D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367A00C8">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9</w:t>
            </w:r>
          </w:p>
        </w:tc>
        <w:tc>
          <w:tcPr>
            <w:tcW w:w="1068" w:type="dxa"/>
            <w:vAlign w:val="center"/>
          </w:tcPr>
          <w:p w14:paraId="331C65D6">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交通信息发布屏控制器</w:t>
            </w:r>
          </w:p>
        </w:tc>
        <w:tc>
          <w:tcPr>
            <w:tcW w:w="6384" w:type="dxa"/>
            <w:vAlign w:val="center"/>
          </w:tcPr>
          <w:p w14:paraId="7C4A4C88">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1、处理器≥4核，运行内存≥2G，内部存储≥4GB；</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2、接口数量：网口≥1个，USB≥1个，支持U盘节目导入播放，亮度传感器接口≥1，音频接口≥1个；</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3、工作状态LED灯显示；</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4、不得有无线模块。</w:t>
            </w:r>
          </w:p>
        </w:tc>
        <w:tc>
          <w:tcPr>
            <w:tcW w:w="720" w:type="dxa"/>
            <w:vAlign w:val="center"/>
          </w:tcPr>
          <w:p w14:paraId="1EA925ED">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6838E30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20</w:t>
            </w:r>
          </w:p>
        </w:tc>
      </w:tr>
      <w:tr w14:paraId="066BC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1" w:hRule="atLeast"/>
        </w:trPr>
        <w:tc>
          <w:tcPr>
            <w:tcW w:w="492" w:type="dxa"/>
            <w:vAlign w:val="center"/>
          </w:tcPr>
          <w:p w14:paraId="70BE9B2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10</w:t>
            </w:r>
          </w:p>
        </w:tc>
        <w:tc>
          <w:tcPr>
            <w:tcW w:w="1068" w:type="dxa"/>
            <w:vAlign w:val="center"/>
          </w:tcPr>
          <w:p w14:paraId="309DD8F7">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交通信息发布屏</w:t>
            </w:r>
          </w:p>
        </w:tc>
        <w:tc>
          <w:tcPr>
            <w:tcW w:w="6384" w:type="dxa"/>
            <w:vAlign w:val="center"/>
          </w:tcPr>
          <w:p w14:paraId="33646BA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1、物理点间距≤10.0mm；</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2、LED规格:DIP546；</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3、像素组成:红绿双色，可显示红、绿、黄三种颜色；</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4、LED寿命:不低于10W小时；</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5、亮度:最高亮度不低于5000cd/m2；</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6、最佳可视距离:10.0m；</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7、显示尺寸≥1920mm×960mm；</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 xml:space="preserve">8、显示分辨率≥192×96点； </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9、外壳材质:冷轧钢板；</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10、亮度设置:支持16档亮度设置；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11、字体大小设置:支持16/24/32三种大小的字体，可更新控制卡字库实现。</w:t>
            </w:r>
          </w:p>
        </w:tc>
        <w:tc>
          <w:tcPr>
            <w:tcW w:w="720" w:type="dxa"/>
            <w:vAlign w:val="center"/>
          </w:tcPr>
          <w:p w14:paraId="45FE593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块</w:t>
            </w:r>
          </w:p>
        </w:tc>
        <w:tc>
          <w:tcPr>
            <w:tcW w:w="645" w:type="dxa"/>
            <w:vAlign w:val="center"/>
          </w:tcPr>
          <w:p w14:paraId="0C1B3D3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20</w:t>
            </w:r>
          </w:p>
        </w:tc>
      </w:tr>
      <w:tr w14:paraId="36A9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92" w:type="dxa"/>
            <w:vAlign w:val="center"/>
          </w:tcPr>
          <w:p w14:paraId="1AB7801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11</w:t>
            </w:r>
          </w:p>
        </w:tc>
        <w:tc>
          <w:tcPr>
            <w:tcW w:w="1068" w:type="dxa"/>
            <w:vAlign w:val="center"/>
          </w:tcPr>
          <w:p w14:paraId="2E7496A8">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cs="宋体"/>
                <w:color w:val="auto"/>
                <w:kern w:val="0"/>
                <w:szCs w:val="21"/>
                <w:highlight w:val="none"/>
              </w:rPr>
              <w:t>抱杆机柜</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定制）</w:t>
            </w:r>
          </w:p>
        </w:tc>
        <w:tc>
          <w:tcPr>
            <w:tcW w:w="6384" w:type="dxa"/>
            <w:vAlign w:val="center"/>
          </w:tcPr>
          <w:p w14:paraId="78A566D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1、安装方式：抱杆安装；</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2、产品尺寸：500.0mm(宽)×350.0mm(深)×575.0mm(高)；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3、防护等级：IP54。</w:t>
            </w:r>
          </w:p>
        </w:tc>
        <w:tc>
          <w:tcPr>
            <w:tcW w:w="720" w:type="dxa"/>
            <w:vAlign w:val="center"/>
          </w:tcPr>
          <w:p w14:paraId="0FAA5966">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784E543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79</w:t>
            </w:r>
          </w:p>
        </w:tc>
      </w:tr>
      <w:tr w14:paraId="2BA0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92" w:type="dxa"/>
            <w:vAlign w:val="center"/>
          </w:tcPr>
          <w:p w14:paraId="3F722068">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12</w:t>
            </w:r>
          </w:p>
        </w:tc>
        <w:tc>
          <w:tcPr>
            <w:tcW w:w="1068" w:type="dxa"/>
            <w:vAlign w:val="center"/>
          </w:tcPr>
          <w:p w14:paraId="1481F246">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摄像机电源线</w:t>
            </w:r>
          </w:p>
        </w:tc>
        <w:tc>
          <w:tcPr>
            <w:tcW w:w="6384" w:type="dxa"/>
            <w:vAlign w:val="center"/>
          </w:tcPr>
          <w:p w14:paraId="2BB01C96">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摄像机电源线RVV3×1.0纯铜国标。</w:t>
            </w:r>
          </w:p>
        </w:tc>
        <w:tc>
          <w:tcPr>
            <w:tcW w:w="720" w:type="dxa"/>
            <w:vAlign w:val="center"/>
          </w:tcPr>
          <w:p w14:paraId="13BD4C8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m</w:t>
            </w:r>
          </w:p>
        </w:tc>
        <w:tc>
          <w:tcPr>
            <w:tcW w:w="645" w:type="dxa"/>
            <w:vAlign w:val="center"/>
          </w:tcPr>
          <w:p w14:paraId="2FE1D125">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7000</w:t>
            </w:r>
          </w:p>
        </w:tc>
      </w:tr>
      <w:tr w14:paraId="3A55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92" w:type="dxa"/>
            <w:vAlign w:val="center"/>
          </w:tcPr>
          <w:p w14:paraId="1C5584F4">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13</w:t>
            </w:r>
          </w:p>
        </w:tc>
        <w:tc>
          <w:tcPr>
            <w:tcW w:w="1068" w:type="dxa"/>
            <w:vAlign w:val="center"/>
          </w:tcPr>
          <w:p w14:paraId="3068FEA3">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补光灯电源线</w:t>
            </w:r>
          </w:p>
        </w:tc>
        <w:tc>
          <w:tcPr>
            <w:tcW w:w="6384" w:type="dxa"/>
            <w:vAlign w:val="center"/>
          </w:tcPr>
          <w:p w14:paraId="5E6FC52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补光灯电源线RVV3×1.0纯铜国标。</w:t>
            </w:r>
          </w:p>
        </w:tc>
        <w:tc>
          <w:tcPr>
            <w:tcW w:w="720" w:type="dxa"/>
            <w:vAlign w:val="center"/>
          </w:tcPr>
          <w:p w14:paraId="44B9BEE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m</w:t>
            </w:r>
          </w:p>
        </w:tc>
        <w:tc>
          <w:tcPr>
            <w:tcW w:w="645" w:type="dxa"/>
            <w:vAlign w:val="center"/>
          </w:tcPr>
          <w:p w14:paraId="1C0E3A7A">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3000</w:t>
            </w:r>
          </w:p>
        </w:tc>
      </w:tr>
      <w:tr w14:paraId="5D76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492" w:type="dxa"/>
            <w:vAlign w:val="center"/>
          </w:tcPr>
          <w:p w14:paraId="788E921B">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14</w:t>
            </w:r>
          </w:p>
        </w:tc>
        <w:tc>
          <w:tcPr>
            <w:tcW w:w="1068" w:type="dxa"/>
            <w:vAlign w:val="center"/>
          </w:tcPr>
          <w:p w14:paraId="3A77B318">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网线</w:t>
            </w:r>
          </w:p>
        </w:tc>
        <w:tc>
          <w:tcPr>
            <w:tcW w:w="6384" w:type="dxa"/>
            <w:vAlign w:val="center"/>
          </w:tcPr>
          <w:p w14:paraId="20206128">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六类非屏蔽室外双绞线，无氧铜国标，8芯。</w:t>
            </w:r>
          </w:p>
        </w:tc>
        <w:tc>
          <w:tcPr>
            <w:tcW w:w="720" w:type="dxa"/>
            <w:vAlign w:val="center"/>
          </w:tcPr>
          <w:p w14:paraId="66D6B5CC">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m</w:t>
            </w:r>
          </w:p>
        </w:tc>
        <w:tc>
          <w:tcPr>
            <w:tcW w:w="645" w:type="dxa"/>
            <w:vAlign w:val="center"/>
          </w:tcPr>
          <w:p w14:paraId="05EF2F9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5000</w:t>
            </w:r>
          </w:p>
        </w:tc>
      </w:tr>
      <w:tr w14:paraId="3B217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92" w:type="dxa"/>
            <w:vAlign w:val="center"/>
          </w:tcPr>
          <w:p w14:paraId="0989B7D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15</w:t>
            </w:r>
          </w:p>
        </w:tc>
        <w:tc>
          <w:tcPr>
            <w:tcW w:w="1068" w:type="dxa"/>
            <w:vAlign w:val="center"/>
          </w:tcPr>
          <w:p w14:paraId="5196A19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杆体接地防雷</w:t>
            </w:r>
          </w:p>
        </w:tc>
        <w:tc>
          <w:tcPr>
            <w:tcW w:w="6384" w:type="dxa"/>
            <w:vAlign w:val="center"/>
          </w:tcPr>
          <w:p w14:paraId="61A5F3B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定制，含接地线缆，防雷接地线ZR-BVR16，接地电阻不大于10欧。</w:t>
            </w:r>
          </w:p>
        </w:tc>
        <w:tc>
          <w:tcPr>
            <w:tcW w:w="720" w:type="dxa"/>
            <w:vAlign w:val="center"/>
          </w:tcPr>
          <w:p w14:paraId="34CAA7C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6BBF6BF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161</w:t>
            </w:r>
          </w:p>
        </w:tc>
      </w:tr>
      <w:tr w14:paraId="7385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92" w:type="dxa"/>
            <w:vAlign w:val="center"/>
          </w:tcPr>
          <w:p w14:paraId="04DEBE8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16</w:t>
            </w:r>
          </w:p>
        </w:tc>
        <w:tc>
          <w:tcPr>
            <w:tcW w:w="1068" w:type="dxa"/>
            <w:vAlign w:val="center"/>
          </w:tcPr>
          <w:p w14:paraId="19A86811">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地下埋管/顶管</w:t>
            </w:r>
          </w:p>
        </w:tc>
        <w:tc>
          <w:tcPr>
            <w:tcW w:w="6384" w:type="dxa"/>
            <w:vAlign w:val="center"/>
          </w:tcPr>
          <w:p w14:paraId="615365D1">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辅道与杆件基座连接，维护手井与机箱设备连接，地下管线汇聚（包含管道沟开挖，PE管铺设，混凝土回填人员施工等），过路需要顶管。</w:t>
            </w:r>
          </w:p>
        </w:tc>
        <w:tc>
          <w:tcPr>
            <w:tcW w:w="720" w:type="dxa"/>
            <w:vAlign w:val="center"/>
          </w:tcPr>
          <w:p w14:paraId="5C0079FC">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m</w:t>
            </w:r>
          </w:p>
        </w:tc>
        <w:tc>
          <w:tcPr>
            <w:tcW w:w="645" w:type="dxa"/>
            <w:vAlign w:val="center"/>
          </w:tcPr>
          <w:p w14:paraId="3F8B4850">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3000</w:t>
            </w:r>
          </w:p>
        </w:tc>
      </w:tr>
      <w:tr w14:paraId="7F1A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492" w:type="dxa"/>
            <w:vAlign w:val="center"/>
          </w:tcPr>
          <w:p w14:paraId="2BAEB0E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17</w:t>
            </w:r>
          </w:p>
        </w:tc>
        <w:tc>
          <w:tcPr>
            <w:tcW w:w="1068" w:type="dxa"/>
            <w:vAlign w:val="center"/>
          </w:tcPr>
          <w:p w14:paraId="7AF2FDC6">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电表</w:t>
            </w:r>
          </w:p>
        </w:tc>
        <w:tc>
          <w:tcPr>
            <w:tcW w:w="6384" w:type="dxa"/>
            <w:vAlign w:val="center"/>
          </w:tcPr>
          <w:p w14:paraId="66189D6A">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国标。</w:t>
            </w:r>
          </w:p>
        </w:tc>
        <w:tc>
          <w:tcPr>
            <w:tcW w:w="720" w:type="dxa"/>
            <w:vAlign w:val="center"/>
          </w:tcPr>
          <w:p w14:paraId="5323C8E0">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组</w:t>
            </w:r>
          </w:p>
        </w:tc>
        <w:tc>
          <w:tcPr>
            <w:tcW w:w="645" w:type="dxa"/>
            <w:vAlign w:val="center"/>
          </w:tcPr>
          <w:p w14:paraId="1649E835">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79</w:t>
            </w:r>
          </w:p>
        </w:tc>
      </w:tr>
      <w:tr w14:paraId="501CD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73FB5153">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18</w:t>
            </w:r>
          </w:p>
        </w:tc>
        <w:tc>
          <w:tcPr>
            <w:tcW w:w="1068" w:type="dxa"/>
            <w:vAlign w:val="center"/>
          </w:tcPr>
          <w:p w14:paraId="34F7D4E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智能交通综合应用平台</w:t>
            </w:r>
          </w:p>
        </w:tc>
        <w:tc>
          <w:tcPr>
            <w:tcW w:w="6384" w:type="dxa"/>
            <w:vAlign w:val="center"/>
          </w:tcPr>
          <w:p w14:paraId="6506D17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1、通道管理节点数量：支持不小于2500通道管理；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2、视频存储转发数量：支持不小于128路存储/转发；</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3、国标码流格式：支持视频编码：H.264/H.265；支持音频编码：采样率为8000的G711.a编码；</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4、国标资源接收功能：支持作为上级平台，接收资源同步，资源变更和状态变更；</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5、国标资源推送功能：支持作为下级国标协议平台进行资源的同步以及资源变更同步，包括组织，设备，通道信息；</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6、国标级联上下级功能：支持作为下级国标协议平台级联推送到第三方，也能够作为上级平台级联接入国标协议平台；</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7、卡口存储业务：支持集群内不小于1000W/天抓拍数据（人卡和车卡）接入；支持不小于300W/天抓拍数据接入。</w:t>
            </w:r>
          </w:p>
        </w:tc>
        <w:tc>
          <w:tcPr>
            <w:tcW w:w="720" w:type="dxa"/>
            <w:vAlign w:val="center"/>
          </w:tcPr>
          <w:p w14:paraId="6ABA939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38E49BF8">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3E0E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492" w:type="dxa"/>
            <w:vAlign w:val="center"/>
          </w:tcPr>
          <w:p w14:paraId="2BF51CB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19</w:t>
            </w:r>
          </w:p>
        </w:tc>
        <w:tc>
          <w:tcPr>
            <w:tcW w:w="1068" w:type="dxa"/>
            <w:vAlign w:val="center"/>
          </w:tcPr>
          <w:p w14:paraId="62442D0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车辆卡口管理系统</w:t>
            </w:r>
          </w:p>
        </w:tc>
        <w:tc>
          <w:tcPr>
            <w:tcW w:w="6384" w:type="dxa"/>
            <w:vAlign w:val="center"/>
          </w:tcPr>
          <w:p w14:paraId="2F06E618">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1、提供交通车辆基础应用。支持过车/违法记录查询、过车/违法详情展现、关联录像查询、关联轨迹查询；支持多种条件的特征检索；支持以图搜图、车辆布控、布控报警查询等业务；</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2、支持区间测速图片按原始图片名称导出；</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3、展现抓拍违法详细信息：抓拍图、合成图、违法类型、抓拍时间、抓拍地点、目标类型、车身颜色；支持过车图片下载到本地；</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4、支持播放抓拍时刻的前后15s录像，支持暂停、快进、快退等基本操作；支持下载到本地；支根据开始时间、结束时间、违法类型、目标类型、点位选择、车身颜色等条件查询信息；</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5、支持对符合条件的布控报警实时显示，并且结合电子地图点位闪烁；</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6、支持在地图上查看过车轨迹；</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7、违法记录查询：支根据时间、号牌号码、号牌种类、点位选择、违法类型、车身颜色、车道、车辆品牌、行驶方向、车速等条件查询车辆违法信息；</w:t>
            </w:r>
          </w:p>
        </w:tc>
        <w:tc>
          <w:tcPr>
            <w:tcW w:w="720" w:type="dxa"/>
            <w:vAlign w:val="center"/>
          </w:tcPr>
          <w:p w14:paraId="5C6CBBC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6F2E97CC">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27739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6BD26C2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20</w:t>
            </w:r>
          </w:p>
        </w:tc>
        <w:tc>
          <w:tcPr>
            <w:tcW w:w="1068" w:type="dxa"/>
            <w:vAlign w:val="center"/>
          </w:tcPr>
          <w:p w14:paraId="14EC2AC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图片处理系统</w:t>
            </w:r>
          </w:p>
        </w:tc>
        <w:tc>
          <w:tcPr>
            <w:tcW w:w="6384" w:type="dxa"/>
            <w:vAlign w:val="center"/>
          </w:tcPr>
          <w:p w14:paraId="5943B31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1、图片合成量：支持每天合成不小于2w张图片；</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2、手动重新合成：支持手动进行单个或批量的重新下发图片合成；</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3、日志查询：支持按时间、车牌号码、违法行为、失败原因查询合成失败的日志记录；</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4、日志查看：支持查看图片合成失败的日志记录；</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5、设备关联配置：支持添加设备关联配置，可以选择设备、选择违法行为，以及每种违法行为是否启用图片合成、OSD叠加；支持设备关联配置的搜索、查看、编辑、删除；</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6、OSD叠加配置：支持添加OSD叠加配置，可以自定义配置违法行为、违法时间格式、字体大小、字体颜色、字段选择和字段排序；支持OSD叠加配置的启用、停用、搜索、查看、编辑、删除；</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7、OSD擦除：背景图片支持OSD擦除、擦除尺寸的配置；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8、图片排列方式：背景图片的排列方式支持按横排、竖排、田字格方式，支持配置图片属性；</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图片合成配置：支持添加图片合成配置，可以自定义配置违法行为、图片排列方式、待合成图片数量、图片大小、背景图片、叠加图片叠加图片支持位置、缩放比例的配置；支持图片合成配置的启用、停用、搜索、查看、编辑、删除。</w:t>
            </w:r>
          </w:p>
        </w:tc>
        <w:tc>
          <w:tcPr>
            <w:tcW w:w="720" w:type="dxa"/>
            <w:vAlign w:val="center"/>
          </w:tcPr>
          <w:p w14:paraId="4F2A1C9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2461B71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0B590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492" w:type="dxa"/>
            <w:vAlign w:val="center"/>
          </w:tcPr>
          <w:p w14:paraId="7B2CF226">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21</w:t>
            </w:r>
          </w:p>
        </w:tc>
        <w:tc>
          <w:tcPr>
            <w:tcW w:w="1068" w:type="dxa"/>
            <w:vAlign w:val="center"/>
          </w:tcPr>
          <w:p w14:paraId="3D775AD1">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流媒体节点软件</w:t>
            </w:r>
          </w:p>
        </w:tc>
        <w:tc>
          <w:tcPr>
            <w:tcW w:w="6384" w:type="dxa"/>
            <w:vAlign w:val="center"/>
          </w:tcPr>
          <w:p w14:paraId="6A79587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1、接入参数:支持不低于2500路接入；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2、存储参数:支持单节点不小于256路存储；或支持单节点不小于400路车辆卡口存储；</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3、转发参数:支持单节点不小于256路转发。</w:t>
            </w:r>
          </w:p>
        </w:tc>
        <w:tc>
          <w:tcPr>
            <w:tcW w:w="720" w:type="dxa"/>
            <w:vAlign w:val="center"/>
          </w:tcPr>
          <w:p w14:paraId="22395AB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2E345DA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4</w:t>
            </w:r>
          </w:p>
        </w:tc>
      </w:tr>
      <w:tr w14:paraId="6DB61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25DAE81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22</w:t>
            </w:r>
          </w:p>
        </w:tc>
        <w:tc>
          <w:tcPr>
            <w:tcW w:w="1068" w:type="dxa"/>
            <w:vAlign w:val="center"/>
          </w:tcPr>
          <w:p w14:paraId="3B7EFEC1">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集指对接网关</w:t>
            </w:r>
          </w:p>
        </w:tc>
        <w:tc>
          <w:tcPr>
            <w:tcW w:w="6384" w:type="dxa"/>
            <w:vAlign w:val="center"/>
          </w:tcPr>
          <w:p w14:paraId="54546D3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1、支持违法数据重传；</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2、支持汇聚平台多个设备映射成集指一个设备；</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3、支持过车对接时效性，设备端到集成指挥接口60s内；</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4、支持7×24小时稳定运行，延迟率小于5%，漏车率小于1%；</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5、支持日过车不小于1000万（数据）+日违法不小于15万（数据+图片）对接集成指挥平台，或支持日过车+违法（数据+图片）不小于15万对接集成指挥平台；</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6、支持违法数据失败重传次数配置，支持违法数据失败重传间隔配置；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7、支持区间违法的上传过滤规则管理，系统会按照过滤规则进行数据过滤，不上传。支持规则添加，含区间选择，违法模板、时间模板、规则描述配置；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8、缉查布控系统对接：支持缉查布控系统对接参数设置，包括对接开关、IP地址、端口和接口序列号参数；</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9、支持集指《外挂接口使用手册》中的违法数据对接接口；</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10、支持《全国机动车缉查布控系统卡口数据上传规范》中的过车数据对接接口；</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11、支持不小于500路通道永久授权。</w:t>
            </w:r>
          </w:p>
        </w:tc>
        <w:tc>
          <w:tcPr>
            <w:tcW w:w="720" w:type="dxa"/>
            <w:vAlign w:val="center"/>
          </w:tcPr>
          <w:p w14:paraId="3090DC8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34B75070">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4CF0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462AD069">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23</w:t>
            </w:r>
          </w:p>
        </w:tc>
        <w:tc>
          <w:tcPr>
            <w:tcW w:w="1068" w:type="dxa"/>
            <w:vAlign w:val="center"/>
          </w:tcPr>
          <w:p w14:paraId="0C8A13B0">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视频国标对接网关</w:t>
            </w:r>
          </w:p>
        </w:tc>
        <w:tc>
          <w:tcPr>
            <w:tcW w:w="6384" w:type="dxa"/>
            <w:vAlign w:val="center"/>
          </w:tcPr>
          <w:p w14:paraId="2670720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1、基于GB/T 28181等联网标准实现视频监控平台间的级联、互联功能，支持多平台多层次级联，实现平台之间的跨域互联互通与资源共享；</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2、支持注册和注销；</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3、支持报警事件通知和分发；</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4、支持在线查看级联网络拓扑，支持查看平台对接信息、网关及三方信息，支持在网络拓扑界面对级联域进行筛选过滤；</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5、支持按域在线解析国标注册、心跳、订阅、实时业务、录像业务、平台业务报文，查看详情，支持根据任务状态、会话ID、创建时间对业务请求进行筛选查询。点击查看按钮显示查看详情；</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6、支持不低于10个外域的接入；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7、不小于500路永久授权。</w:t>
            </w:r>
          </w:p>
        </w:tc>
        <w:tc>
          <w:tcPr>
            <w:tcW w:w="720" w:type="dxa"/>
            <w:vAlign w:val="center"/>
          </w:tcPr>
          <w:p w14:paraId="354C615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3A0760E5">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7AFF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0" w:hRule="atLeast"/>
        </w:trPr>
        <w:tc>
          <w:tcPr>
            <w:tcW w:w="492" w:type="dxa"/>
            <w:vAlign w:val="center"/>
          </w:tcPr>
          <w:p w14:paraId="68CA5AA4">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24</w:t>
            </w:r>
          </w:p>
        </w:tc>
        <w:tc>
          <w:tcPr>
            <w:tcW w:w="1068" w:type="dxa"/>
            <w:vAlign w:val="center"/>
          </w:tcPr>
          <w:p w14:paraId="00CB6539">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视频图像信息库网关</w:t>
            </w:r>
          </w:p>
        </w:tc>
        <w:tc>
          <w:tcPr>
            <w:tcW w:w="6384" w:type="dxa"/>
            <w:vAlign w:val="center"/>
          </w:tcPr>
          <w:p w14:paraId="32A4A1C8">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1、支持人脸、车辆、案事件等视频图像资源汇聚接入、级联转发的视图库网关；</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2、支持符合视图库协议GA/T 1400协议规范的接口；</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3、支持采集设备、采集系统、卡口、分析系统、视图库服务、应用平台的增加、删除和修改；</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4、支持订阅、取消订阅和修改订阅时间功能；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5、支持多个上级域视图库同时联网接入；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6、支持多个下级域视图库同时联网接入；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7、具备独立的认证鉴权能力，对接入到本级视图库的上下级域视图库身份合法性进行鉴权认证；</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8、支持按照GA/T1400协议规定的数据格式推送过车、人脸、人体等视图结构化数据给上级；</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9、支持按照约定的方式推送上级图片数据格式；</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10、支持上级向本级视图库订阅GA/T1400协议规定的数据类别；</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11、性能规格50条/s（一大图（500K）+一小图（50K））。</w:t>
            </w:r>
          </w:p>
        </w:tc>
        <w:tc>
          <w:tcPr>
            <w:tcW w:w="720" w:type="dxa"/>
            <w:vAlign w:val="center"/>
          </w:tcPr>
          <w:p w14:paraId="728D286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78853F6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31DDC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492" w:type="dxa"/>
            <w:vAlign w:val="center"/>
          </w:tcPr>
          <w:p w14:paraId="468C8B44">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25</w:t>
            </w:r>
          </w:p>
        </w:tc>
        <w:tc>
          <w:tcPr>
            <w:tcW w:w="1068" w:type="dxa"/>
            <w:vAlign w:val="center"/>
          </w:tcPr>
          <w:p w14:paraId="01441F63">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诱导屏信息发布平台</w:t>
            </w:r>
          </w:p>
        </w:tc>
        <w:tc>
          <w:tcPr>
            <w:tcW w:w="6384" w:type="dxa"/>
            <w:vAlign w:val="center"/>
          </w:tcPr>
          <w:p w14:paraId="2F35EE6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1、最多支持接入不小于25路诱导屏；</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2、支持地图展示诱导屏点位信息，并支持诱导屏的插播、撤销插播、查看视频、开屏关屏操作。支持地图和卡片两种模式；</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3、通过设备的单个添加和导入导出，方便统计管理设备在离线状态，并对设备进行远程操控；</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4、支持图片和视频素材的上传，为节目制作提供素材基础。支持素材的审核；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节目模块和我的节目。节目模板有系统内置模板，通用节目可存为模板，我的节目这次根据实际需求发布各类诱导信息，包括文字、图片、视频、网页等，并支持在本地预览诱导信息的内容。支持节目的审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6、支持按周和自定义日期创建诱导屏播放计划，支持设置播放计划的播放模式轮播和垫片，垫片作为背景节目在无插播盒普通轮播计划时播放。支持普通计划的审核。</w:t>
            </w:r>
          </w:p>
        </w:tc>
        <w:tc>
          <w:tcPr>
            <w:tcW w:w="720" w:type="dxa"/>
            <w:vAlign w:val="center"/>
          </w:tcPr>
          <w:p w14:paraId="79B9C4A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45DE34F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1C81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492" w:type="dxa"/>
            <w:vAlign w:val="center"/>
          </w:tcPr>
          <w:p w14:paraId="6758BDA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26</w:t>
            </w:r>
          </w:p>
        </w:tc>
        <w:tc>
          <w:tcPr>
            <w:tcW w:w="1068" w:type="dxa"/>
            <w:vAlign w:val="center"/>
          </w:tcPr>
          <w:p w14:paraId="29EA7537">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智能交通综合应用平台服务器</w:t>
            </w:r>
          </w:p>
        </w:tc>
        <w:tc>
          <w:tcPr>
            <w:tcW w:w="6384" w:type="dxa"/>
            <w:vAlign w:val="center"/>
          </w:tcPr>
          <w:p w14:paraId="4B4A3F3E">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CPU：≥2*国产CPU，单颗CPU主频≥2.0GHz（非超频），单颗CPU物理核≥24核；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内存：≥128G内存；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硬盘：≥2块4TB 硬盘；≥2块480G SSD硬盘；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网卡：≥4个千兆网口,≥2个万兆光口（含多模光模块）；</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RAID卡：缓存≥4G；</w:t>
            </w:r>
          </w:p>
          <w:p w14:paraId="664CCF0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含国产操作系统；</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电源规格：整机电源模块按1+1冗余配置。</w:t>
            </w:r>
          </w:p>
        </w:tc>
        <w:tc>
          <w:tcPr>
            <w:tcW w:w="720" w:type="dxa"/>
            <w:vAlign w:val="center"/>
          </w:tcPr>
          <w:p w14:paraId="2681B308">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485A457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65E2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492" w:type="dxa"/>
            <w:vAlign w:val="center"/>
          </w:tcPr>
          <w:p w14:paraId="5DC03270">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27</w:t>
            </w:r>
          </w:p>
        </w:tc>
        <w:tc>
          <w:tcPr>
            <w:tcW w:w="1068" w:type="dxa"/>
            <w:vAlign w:val="center"/>
          </w:tcPr>
          <w:p w14:paraId="038E43A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应用服务器</w:t>
            </w:r>
          </w:p>
        </w:tc>
        <w:tc>
          <w:tcPr>
            <w:tcW w:w="6384" w:type="dxa"/>
            <w:vAlign w:val="center"/>
          </w:tcPr>
          <w:p w14:paraId="7128BC6D">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CPU：≥2*国产CPU，单颗CPU主频≥2.0GHz（非超频），单颗CPU物理核≥24核；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内存：≥64G内存；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硬盘：≥2块4TB 硬盘；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网卡：≥4个千兆网口,≥2个万兆光口（含多模光模块）；</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RAID卡：缓存≥</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G；</w:t>
            </w:r>
          </w:p>
          <w:p w14:paraId="07FD868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含国产操作系统；</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电源规格：整机电源模块按1+1冗余配置</w:t>
            </w:r>
          </w:p>
        </w:tc>
        <w:tc>
          <w:tcPr>
            <w:tcW w:w="720" w:type="dxa"/>
            <w:vAlign w:val="center"/>
          </w:tcPr>
          <w:p w14:paraId="72C22442">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6CE1ABB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6</w:t>
            </w:r>
          </w:p>
        </w:tc>
      </w:tr>
      <w:tr w14:paraId="0627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9" w:hRule="atLeast"/>
        </w:trPr>
        <w:tc>
          <w:tcPr>
            <w:tcW w:w="492" w:type="dxa"/>
            <w:vAlign w:val="center"/>
          </w:tcPr>
          <w:p w14:paraId="086AD13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28</w:t>
            </w:r>
          </w:p>
        </w:tc>
        <w:tc>
          <w:tcPr>
            <w:tcW w:w="1068" w:type="dxa"/>
            <w:vAlign w:val="center"/>
          </w:tcPr>
          <w:p w14:paraId="33D43294">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数据库服务器</w:t>
            </w:r>
          </w:p>
        </w:tc>
        <w:tc>
          <w:tcPr>
            <w:tcW w:w="6384" w:type="dxa"/>
            <w:vAlign w:val="center"/>
          </w:tcPr>
          <w:p w14:paraId="3610F138">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CPU：≥2*国产CPU，单颗CPU主频≥2.0GHz（非超频），单颗CPU物理核≥24核；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内存：≥128G内存；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硬盘：≥2块2TB HDD硬盘；≥8块600G SAS硬盘；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网卡：≥4个千兆网口,≥2个万兆光口（含多模光模块）；</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RAID卡：缓存≥</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G；</w:t>
            </w:r>
          </w:p>
          <w:p w14:paraId="7728C809">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含国产操作系统；</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电源规格：整机电源模块按1+1冗余配置</w:t>
            </w:r>
          </w:p>
        </w:tc>
        <w:tc>
          <w:tcPr>
            <w:tcW w:w="720" w:type="dxa"/>
            <w:vAlign w:val="center"/>
          </w:tcPr>
          <w:p w14:paraId="10F4F6F5">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0C4271D0">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6FA40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2" w:type="dxa"/>
            <w:vAlign w:val="center"/>
          </w:tcPr>
          <w:p w14:paraId="234D519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29</w:t>
            </w:r>
          </w:p>
        </w:tc>
        <w:tc>
          <w:tcPr>
            <w:tcW w:w="1068" w:type="dxa"/>
            <w:vAlign w:val="center"/>
          </w:tcPr>
          <w:p w14:paraId="579E9010">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数据库软件</w:t>
            </w:r>
          </w:p>
        </w:tc>
        <w:tc>
          <w:tcPr>
            <w:tcW w:w="6384" w:type="dxa"/>
            <w:vAlign w:val="center"/>
          </w:tcPr>
          <w:p w14:paraId="25ECF9A8">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1、国产化数据库；</w:t>
            </w:r>
          </w:p>
          <w:p w14:paraId="0CBE9BFA">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2、支持各类国产硬件体系，支持飞腾系列、龙芯系列、申威系列、兆芯系列、鲲鹏系列、海光系列等不同CPU架构的服务器；</w:t>
            </w:r>
          </w:p>
          <w:p w14:paraId="1CF9354F">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3、支持各类国产操作系统平台；</w:t>
            </w:r>
          </w:p>
          <w:p w14:paraId="50545209">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4、兼容Oracle数据字典视图和系统包，兼容PL/SQL操作语句，兼容Oracle的常用系统函数；</w:t>
            </w:r>
          </w:p>
          <w:p w14:paraId="7D31C299">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5、单机支持</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万以上并发连接数；</w:t>
            </w:r>
          </w:p>
          <w:p w14:paraId="6545D535">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6、单表支持不低于2000列字段；</w:t>
            </w:r>
          </w:p>
          <w:p w14:paraId="54E02841">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7、单机单表支持不低于120TB文本数据的存储；单机单表支持万亿行记录的存储；在基于120TB（万亿行记录数）数据的单表上，支持数据的增删改查操作;</w:t>
            </w:r>
          </w:p>
          <w:p w14:paraId="1EFB3D45">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8、单机单实例TPC-C性能测试，测试持续时间60分钟，测试指标指能达到150万tpmC以上；</w:t>
            </w:r>
          </w:p>
          <w:p w14:paraId="21959C93">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9、可移植性和可扩展性强，支持主流第三方数据处理工具；</w:t>
            </w:r>
          </w:p>
          <w:p w14:paraId="14D82E1A">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10、支持并行处理能力；</w:t>
            </w:r>
          </w:p>
          <w:p w14:paraId="707AC0D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11、支持基于国密算法的存储加密，支持数据加密存储，支持国密算法加密，支持全面加密，数据文件、日志文件、备份文件、导入导出文件等均支持透明加密；支持数据库级、表级、列级等不同级别加密，支持不同用户、不同列设置不同密钥。</w:t>
            </w:r>
          </w:p>
        </w:tc>
        <w:tc>
          <w:tcPr>
            <w:tcW w:w="720" w:type="dxa"/>
            <w:vAlign w:val="center"/>
          </w:tcPr>
          <w:p w14:paraId="3CD4D25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77E0B54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7F0C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6" w:hRule="atLeast"/>
        </w:trPr>
        <w:tc>
          <w:tcPr>
            <w:tcW w:w="492" w:type="dxa"/>
            <w:vAlign w:val="center"/>
          </w:tcPr>
          <w:p w14:paraId="54662DF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30</w:t>
            </w:r>
          </w:p>
        </w:tc>
        <w:tc>
          <w:tcPr>
            <w:tcW w:w="1068" w:type="dxa"/>
            <w:vAlign w:val="center"/>
          </w:tcPr>
          <w:p w14:paraId="45D28650">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云存储管理系统</w:t>
            </w:r>
          </w:p>
        </w:tc>
        <w:tc>
          <w:tcPr>
            <w:tcW w:w="6384" w:type="dxa"/>
            <w:vAlign w:val="center"/>
          </w:tcPr>
          <w:p w14:paraId="23677A8B">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1、包含容量授权：不小于1728T；</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2、支持全局存储资源虚拟化，统一访问入口，统一命名空间管理，支持文件、录像、图片存储；支持EC纠删码和副本容错算法，支持硬盘、节点容错；</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对文件生命周期管理，自动感知存储系统状态，包括用户空间使用情况，以及用户、bucket的生命周期和文件信息，根据用户配置的生命周期策略对文件进行删除和空间回收，支持满足安防行业特点的紧急覆盖机制；</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4、支持数据损坏自动恢复，支持对指定日期文件进行数据恢复，可选自动恢复和手动恢复，支持文件恢复优先级控制，支持设置高中低不同的数据恢复策略；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5、支持将图片等小文件汇聚成大文件进行存储，并返回一个包含文件偏移信息的唯一标识符，支持小文件的并发读写，支持文件通过http下载；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6、支持根据不同用户的需求，划分存储配额空间，底层共用同一个存储池，支持多平台同时共用一套云存储；</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7、支持坏盘、慢盘、网络异常抖动的自动检测，支持对异常盘和异常存储节点进行自动隔离，支持硬盘免及时更换，支持硬盘集中更换；支持在线更换硬盘和存储节点服务器，业务不中断；</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支持数据读写压力按存储节点的CPU、内存、网络、容量进行自动负载均衡，支持存储节点异常后读写流量自动负载到其他正常存储节点，不影响正常业务；支持视频、图片数据同时从多台存储节点上分布式并发下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9、支持主备高可靠，支持单台元数据服务器故障业务不中断，支持在线更换故障元数据服务器；</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10、支持对所有存储节点、所有硬盘资源虚拟化成统一的存储空间，支持存储容量资源的统一管理，支持集群存储容量动态扩容; 支持集群热备容量管理；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11、支持为不同存储用户分配不同的存储空间和创建不同的资源池；支持灵活修改资源池属性，支持对分配的资源池容量在线扩容；</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12、支持文件删除立即回收存储容量；支持文件过期自动回收存储容量；支持生命周期紧急覆盖策略下对用户空间容量进行回收，保证新业务数据持续写入，业务不中断；</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13、该系统含不少于2台服务器，每台配置：CPU：≥2*国产CPU，单颗CPU主频≥2.0GHz（非超频），单颗CPU物理核≥24核；内存：≥128G内存；硬盘：≥2块4TB硬盘；≥2块960G 固态硬盘；网卡：≥4个千兆网口,≥4个万兆光口（含多模光模块）；RAID卡：缓存≥2G,支持 RAID 0, 1, 5, 6, 10；电源规格：整机电源模块按1+1冗余配置。</w:t>
            </w:r>
          </w:p>
        </w:tc>
        <w:tc>
          <w:tcPr>
            <w:tcW w:w="720" w:type="dxa"/>
            <w:vAlign w:val="center"/>
          </w:tcPr>
          <w:p w14:paraId="2FDC512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套</w:t>
            </w:r>
          </w:p>
        </w:tc>
        <w:tc>
          <w:tcPr>
            <w:tcW w:w="645" w:type="dxa"/>
            <w:vAlign w:val="center"/>
          </w:tcPr>
          <w:p w14:paraId="1C1BA01F">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71B33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0" w:hRule="atLeast"/>
        </w:trPr>
        <w:tc>
          <w:tcPr>
            <w:tcW w:w="492" w:type="dxa"/>
            <w:vAlign w:val="center"/>
          </w:tcPr>
          <w:p w14:paraId="2DDBE5C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31</w:t>
            </w:r>
          </w:p>
        </w:tc>
        <w:tc>
          <w:tcPr>
            <w:tcW w:w="1068" w:type="dxa"/>
            <w:vAlign w:val="center"/>
          </w:tcPr>
          <w:p w14:paraId="379FB0F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视频云存储节点</w:t>
            </w:r>
          </w:p>
        </w:tc>
        <w:tc>
          <w:tcPr>
            <w:tcW w:w="6384" w:type="dxa"/>
            <w:vAlign w:val="center"/>
          </w:tcPr>
          <w:p w14:paraId="63D9131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1、CPU：≥2*国产CPU，单颗CPU主频≥2.0GHz（非超频），单颗CPU物理核≥24核；</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2、内存：≥32G内存；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3、硬盘：≥1块4TB硬盘；≥1块480G 固态硬盘；≥36块8T企业级硬盘；</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4、网卡：≥4个千兆网口,≥4个万兆光口（含多模光模块）；</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5、RAID卡：支持 RAID 0, 1, 5, 6, 10；</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6、电源规格：整机电源模块按1+1冗余配置；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7、视频设备接入模块：支持国标、Onvif等接入各类型的前端设备；</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8、卡口设备接入模块：支持人脸、车辆卡口设备接入以及结构化数据接入；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9、视频图片存储模块：支持视频和图片的基础存储业务，包括录像计划，图片计划配置管理，包括视频流按通道和类型进行分类，并进行相应的索引创建等；</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10、视频存储：视频存储800路且最大带宽≤2000Mbps，支持128路或512Mbps转发；</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11、图片最大存储：写入不小于400张图片/s(1:1大小图)，读取不小于400张图片/s(1:1大小图)。</w:t>
            </w:r>
          </w:p>
        </w:tc>
        <w:tc>
          <w:tcPr>
            <w:tcW w:w="720" w:type="dxa"/>
            <w:vAlign w:val="center"/>
          </w:tcPr>
          <w:p w14:paraId="7180FF15">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38EB86BE">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6</w:t>
            </w:r>
          </w:p>
        </w:tc>
      </w:tr>
      <w:tr w14:paraId="7A9C3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7" w:hRule="atLeast"/>
        </w:trPr>
        <w:tc>
          <w:tcPr>
            <w:tcW w:w="492" w:type="dxa"/>
            <w:vAlign w:val="center"/>
          </w:tcPr>
          <w:p w14:paraId="0A4DED7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32</w:t>
            </w:r>
          </w:p>
        </w:tc>
        <w:tc>
          <w:tcPr>
            <w:tcW w:w="1068" w:type="dxa"/>
            <w:vAlign w:val="center"/>
          </w:tcPr>
          <w:p w14:paraId="77C56E9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核心交换机</w:t>
            </w:r>
          </w:p>
        </w:tc>
        <w:tc>
          <w:tcPr>
            <w:tcW w:w="6384" w:type="dxa"/>
            <w:vAlign w:val="center"/>
          </w:tcPr>
          <w:p w14:paraId="70A0498C">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1、一体化主机套装标配：2×电源，2×主控；</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2、主机提供3个业务插槽，单板均支持热插拔；</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3、交换容量不小于38.4Tbps/168Tbps、包转发率：7200Mpps/36000Mpps；</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4、支持STP/RSTP/MSTP、支持PVST、支持RRPP、支持ERPS；</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5、支持基于端口的VLAN、支持基于MAC的VLAN、基于协议的VLAN、基于IP子网的VLAN、支持QinQ、灵活QinQ、支持VLAN Mapping、支持MVRP；</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6、支持手工聚合和静态LACP协议聚合；</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7、支持IGMPv1/v2/v3、IGMPv1/v2/v3 Snooping；</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8、支持PIM-SM/PIM-DM/PIM-SSM；</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9、支持二层特性包括VLAN、IGMP Snooping、LLDP、ACL、QoS等；</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10、支持RIP/OSPF/BGP/IS-IS/VRRP；</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11、支持IPv4、IPv6路由特征；</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12、支持虚拟化堆叠技术；</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13、支持标准和扩展ACL；</w:t>
            </w:r>
            <w:r>
              <w:rPr>
                <w:rFonts w:hint="eastAsia" w:ascii="宋体" w:hAnsi="宋体" w:cs="宋体"/>
                <w:color w:val="auto"/>
                <w:kern w:val="0"/>
                <w:szCs w:val="21"/>
                <w:highlight w:val="none"/>
              </w:rPr>
              <w:br w:type="textWrapping"/>
            </w:r>
            <w:r>
              <w:rPr>
                <w:rFonts w:hint="eastAsia" w:ascii="宋体" w:hAnsi="宋体" w:cs="宋体"/>
                <w:color w:val="auto"/>
                <w:szCs w:val="21"/>
                <w:highlight w:val="none"/>
              </w:rPr>
              <w:t>14</w:t>
            </w:r>
            <w:r>
              <w:rPr>
                <w:rFonts w:hint="eastAsia" w:ascii="宋体" w:hAnsi="宋体" w:cs="宋体"/>
                <w:color w:val="auto"/>
                <w:kern w:val="0"/>
                <w:szCs w:val="21"/>
                <w:highlight w:val="none"/>
              </w:rPr>
              <w:t>、支持配置中文注释；</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15、包含2个48口万兆光口业务板卡；</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16、包含1个48口千兆电口业务板卡：48端口千兆以太网电接口模块；业务端口：48×RJ-45 10/100/1000Mbps；支持热插拔；</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17、含48个万兆多模光模块。</w:t>
            </w:r>
          </w:p>
        </w:tc>
        <w:tc>
          <w:tcPr>
            <w:tcW w:w="720" w:type="dxa"/>
            <w:vAlign w:val="center"/>
          </w:tcPr>
          <w:p w14:paraId="164FA0E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29799E84">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r w14:paraId="12CB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6" w:hRule="atLeast"/>
        </w:trPr>
        <w:tc>
          <w:tcPr>
            <w:tcW w:w="492" w:type="dxa"/>
            <w:vAlign w:val="center"/>
          </w:tcPr>
          <w:p w14:paraId="00DD28C9">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33</w:t>
            </w:r>
          </w:p>
        </w:tc>
        <w:tc>
          <w:tcPr>
            <w:tcW w:w="1068" w:type="dxa"/>
            <w:vAlign w:val="center"/>
          </w:tcPr>
          <w:p w14:paraId="237336D1">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维护电脑</w:t>
            </w:r>
          </w:p>
        </w:tc>
        <w:tc>
          <w:tcPr>
            <w:tcW w:w="6384" w:type="dxa"/>
            <w:vAlign w:val="center"/>
          </w:tcPr>
          <w:p w14:paraId="47C48941">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国产CPU≥8核，主频≥2.0GHz；</w:t>
            </w:r>
          </w:p>
          <w:p w14:paraId="0EDB171A">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内存≥16GB；</w:t>
            </w:r>
          </w:p>
          <w:p w14:paraId="6185B31C">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存储≥512GB SSD，支持1TB机械硬盘；</w:t>
            </w:r>
          </w:p>
          <w:p w14:paraId="1C27B405">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显卡：独立显卡，显存≥2G ；</w:t>
            </w:r>
          </w:p>
          <w:p w14:paraId="7360B225">
            <w:pPr>
              <w:widowControl/>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显示器≥21.5寸；</w:t>
            </w:r>
          </w:p>
          <w:p w14:paraId="46E880FD">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含国产操作系统。</w:t>
            </w:r>
          </w:p>
        </w:tc>
        <w:tc>
          <w:tcPr>
            <w:tcW w:w="720" w:type="dxa"/>
            <w:vAlign w:val="center"/>
          </w:tcPr>
          <w:p w14:paraId="032EA457">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台</w:t>
            </w:r>
          </w:p>
        </w:tc>
        <w:tc>
          <w:tcPr>
            <w:tcW w:w="645" w:type="dxa"/>
            <w:vAlign w:val="center"/>
          </w:tcPr>
          <w:p w14:paraId="441E8E83">
            <w:pPr>
              <w:widowControl/>
              <w:jc w:val="left"/>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w:t>
            </w:r>
          </w:p>
        </w:tc>
      </w:tr>
    </w:tbl>
    <w:p w14:paraId="5F7B9259">
      <w:pPr>
        <w:rPr>
          <w:color w:val="auto"/>
          <w:highlight w:val="none"/>
        </w:rPr>
      </w:pPr>
    </w:p>
    <w:p w14:paraId="4BA8FF17">
      <w:pPr>
        <w:pStyle w:val="2"/>
        <w:rPr>
          <w:rFonts w:hint="eastAsia" w:ascii="宋体" w:hAnsi="宋体" w:cs="宋体"/>
          <w:color w:val="auto"/>
          <w:szCs w:val="27"/>
          <w:highlight w:val="none"/>
        </w:rPr>
      </w:pPr>
    </w:p>
    <w:p w14:paraId="0955DD1A">
      <w:pPr>
        <w:pStyle w:val="356"/>
        <w:spacing w:before="120" w:after="120" w:line="460" w:lineRule="exact"/>
        <w:ind w:left="0"/>
        <w:jc w:val="center"/>
        <w:rPr>
          <w:rFonts w:hint="eastAsia" w:ascii="宋体" w:hAnsi="宋体" w:cs="宋体"/>
          <w:b/>
          <w:bCs/>
          <w:color w:val="auto"/>
          <w:sz w:val="32"/>
          <w:szCs w:val="32"/>
          <w:highlight w:val="none"/>
        </w:rPr>
      </w:pPr>
    </w:p>
    <w:p w14:paraId="2B6092DF">
      <w:pPr>
        <w:rPr>
          <w:rFonts w:hint="eastAsia" w:ascii="宋体" w:hAnsi="宋体" w:cs="宋体"/>
          <w:color w:val="auto"/>
          <w:highlight w:val="none"/>
        </w:rPr>
      </w:pPr>
      <w:bookmarkStart w:id="97" w:name="_Toc22345"/>
      <w:bookmarkStart w:id="98" w:name="_Toc17699_WPSOffice_Level1"/>
      <w:bookmarkStart w:id="99" w:name="_Toc30894"/>
    </w:p>
    <w:p w14:paraId="0754B289">
      <w:pPr>
        <w:pStyle w:val="2"/>
        <w:rPr>
          <w:rFonts w:hint="eastAsia" w:ascii="宋体" w:hAnsi="宋体" w:cs="宋体"/>
          <w:color w:val="auto"/>
          <w:highlight w:val="none"/>
        </w:rPr>
      </w:pPr>
    </w:p>
    <w:p w14:paraId="46706160">
      <w:pPr>
        <w:pStyle w:val="2"/>
        <w:rPr>
          <w:rFonts w:hint="eastAsia" w:ascii="宋体" w:hAnsi="宋体" w:cs="宋体"/>
          <w:color w:val="auto"/>
          <w:highlight w:val="none"/>
        </w:rPr>
      </w:pPr>
    </w:p>
    <w:p w14:paraId="5799C134">
      <w:pPr>
        <w:pStyle w:val="2"/>
        <w:rPr>
          <w:rFonts w:hint="eastAsia" w:ascii="宋体" w:hAnsi="宋体" w:cs="宋体"/>
          <w:color w:val="auto"/>
          <w:highlight w:val="none"/>
        </w:rPr>
      </w:pPr>
    </w:p>
    <w:p w14:paraId="256CA2CB">
      <w:pPr>
        <w:pStyle w:val="2"/>
        <w:rPr>
          <w:rFonts w:hint="eastAsia" w:ascii="宋体" w:hAnsi="宋体" w:cs="宋体"/>
          <w:color w:val="auto"/>
          <w:highlight w:val="none"/>
        </w:rPr>
      </w:pPr>
    </w:p>
    <w:p w14:paraId="5D9F5E6F">
      <w:pPr>
        <w:pStyle w:val="2"/>
        <w:rPr>
          <w:rFonts w:hint="eastAsia" w:ascii="宋体" w:hAnsi="宋体" w:cs="宋体"/>
          <w:color w:val="auto"/>
          <w:highlight w:val="none"/>
        </w:rPr>
      </w:pPr>
    </w:p>
    <w:p w14:paraId="464BEC19">
      <w:pPr>
        <w:pStyle w:val="2"/>
        <w:rPr>
          <w:rFonts w:hint="eastAsia" w:ascii="宋体" w:hAnsi="宋体" w:cs="宋体"/>
          <w:color w:val="auto"/>
          <w:highlight w:val="none"/>
        </w:rPr>
      </w:pPr>
    </w:p>
    <w:p w14:paraId="317ACBF9">
      <w:pPr>
        <w:pStyle w:val="2"/>
        <w:rPr>
          <w:rFonts w:hint="eastAsia" w:ascii="宋体" w:hAnsi="宋体" w:cs="宋体"/>
          <w:color w:val="auto"/>
          <w:highlight w:val="none"/>
        </w:rPr>
      </w:pPr>
    </w:p>
    <w:p w14:paraId="50BD3D72">
      <w:pPr>
        <w:pStyle w:val="2"/>
        <w:rPr>
          <w:rFonts w:hint="eastAsia" w:ascii="宋体" w:hAnsi="宋体" w:cs="宋体"/>
          <w:color w:val="auto"/>
          <w:highlight w:val="none"/>
        </w:rPr>
      </w:pPr>
    </w:p>
    <w:p w14:paraId="4E04D75C">
      <w:pPr>
        <w:pStyle w:val="2"/>
        <w:rPr>
          <w:rFonts w:hint="eastAsia" w:ascii="宋体" w:hAnsi="宋体" w:cs="宋体"/>
          <w:color w:val="auto"/>
          <w:highlight w:val="none"/>
        </w:rPr>
      </w:pPr>
    </w:p>
    <w:p w14:paraId="0DA32FDC">
      <w:pPr>
        <w:pStyle w:val="2"/>
        <w:rPr>
          <w:rFonts w:hint="eastAsia" w:ascii="宋体" w:hAnsi="宋体" w:cs="宋体"/>
          <w:color w:val="auto"/>
          <w:highlight w:val="none"/>
        </w:rPr>
      </w:pPr>
    </w:p>
    <w:p w14:paraId="2EEAAF5A">
      <w:pPr>
        <w:pStyle w:val="2"/>
        <w:rPr>
          <w:rFonts w:hint="eastAsia" w:ascii="宋体" w:hAnsi="宋体" w:cs="宋体"/>
          <w:color w:val="auto"/>
          <w:highlight w:val="none"/>
        </w:rPr>
      </w:pPr>
    </w:p>
    <w:p w14:paraId="64B7E7AD">
      <w:pPr>
        <w:pStyle w:val="2"/>
        <w:rPr>
          <w:rFonts w:hint="eastAsia" w:ascii="宋体" w:hAnsi="宋体" w:cs="宋体"/>
          <w:color w:val="auto"/>
          <w:highlight w:val="none"/>
        </w:rPr>
      </w:pPr>
    </w:p>
    <w:p w14:paraId="2B0D45DD">
      <w:pPr>
        <w:pStyle w:val="2"/>
        <w:rPr>
          <w:rFonts w:hint="eastAsia" w:ascii="宋体" w:hAnsi="宋体" w:cs="宋体"/>
          <w:color w:val="auto"/>
          <w:highlight w:val="none"/>
        </w:rPr>
      </w:pPr>
    </w:p>
    <w:p w14:paraId="1278695E">
      <w:pPr>
        <w:pStyle w:val="2"/>
        <w:rPr>
          <w:rFonts w:hint="eastAsia" w:ascii="宋体" w:hAnsi="宋体" w:cs="宋体"/>
          <w:color w:val="auto"/>
          <w:highlight w:val="none"/>
        </w:rPr>
      </w:pPr>
    </w:p>
    <w:p w14:paraId="1138A305">
      <w:pPr>
        <w:pStyle w:val="2"/>
        <w:rPr>
          <w:rFonts w:hint="eastAsia" w:ascii="宋体" w:hAnsi="宋体" w:cs="宋体"/>
          <w:color w:val="auto"/>
          <w:highlight w:val="none"/>
        </w:rPr>
      </w:pPr>
    </w:p>
    <w:p w14:paraId="46652617">
      <w:pPr>
        <w:pStyle w:val="2"/>
        <w:rPr>
          <w:rFonts w:hint="eastAsia" w:ascii="宋体" w:hAnsi="宋体" w:cs="宋体"/>
          <w:color w:val="auto"/>
          <w:highlight w:val="none"/>
        </w:rPr>
      </w:pPr>
    </w:p>
    <w:p w14:paraId="32EF4842">
      <w:pPr>
        <w:rPr>
          <w:rFonts w:hint="eastAsia" w:ascii="宋体" w:hAnsi="宋体" w:cs="宋体"/>
          <w:color w:val="auto"/>
          <w:highlight w:val="none"/>
        </w:rPr>
      </w:pPr>
    </w:p>
    <w:p w14:paraId="20B3E9C0">
      <w:pPr>
        <w:pStyle w:val="4"/>
        <w:jc w:val="center"/>
        <w:rPr>
          <w:rFonts w:hint="eastAsia" w:ascii="宋体" w:hAnsi="宋体" w:cs="宋体"/>
          <w:color w:val="auto"/>
          <w:highlight w:val="none"/>
        </w:rPr>
      </w:pPr>
      <w:r>
        <w:rPr>
          <w:rFonts w:hint="eastAsia" w:ascii="宋体" w:hAnsi="宋体" w:cs="宋体"/>
          <w:color w:val="auto"/>
          <w:highlight w:val="none"/>
        </w:rPr>
        <w:t>第七章 投标文件格式</w:t>
      </w:r>
    </w:p>
    <w:p w14:paraId="311B3DCF">
      <w:pPr>
        <w:spacing w:line="900" w:lineRule="exact"/>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****项目</w:t>
      </w:r>
    </w:p>
    <w:p w14:paraId="7D1F023A">
      <w:pPr>
        <w:pStyle w:val="30"/>
        <w:rPr>
          <w:rFonts w:hint="eastAsia" w:ascii="宋体" w:hAnsi="宋体" w:cs="宋体"/>
          <w:color w:val="auto"/>
          <w:highlight w:val="none"/>
        </w:rPr>
      </w:pPr>
    </w:p>
    <w:p w14:paraId="29A57354">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投</w:t>
      </w:r>
    </w:p>
    <w:p w14:paraId="4B463050">
      <w:pPr>
        <w:spacing w:line="900" w:lineRule="exact"/>
        <w:jc w:val="center"/>
        <w:rPr>
          <w:rFonts w:hint="eastAsia" w:ascii="宋体" w:hAnsi="宋体" w:cs="宋体"/>
          <w:b/>
          <w:color w:val="auto"/>
          <w:sz w:val="72"/>
          <w:highlight w:val="none"/>
        </w:rPr>
      </w:pPr>
    </w:p>
    <w:p w14:paraId="5EB83BE3">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标</w:t>
      </w:r>
    </w:p>
    <w:p w14:paraId="5CDE5099">
      <w:pPr>
        <w:spacing w:line="900" w:lineRule="exact"/>
        <w:jc w:val="center"/>
        <w:rPr>
          <w:rFonts w:hint="eastAsia" w:ascii="宋体" w:hAnsi="宋体" w:cs="宋体"/>
          <w:b/>
          <w:color w:val="auto"/>
          <w:sz w:val="72"/>
          <w:highlight w:val="none"/>
        </w:rPr>
      </w:pPr>
    </w:p>
    <w:p w14:paraId="57C6F551">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文</w:t>
      </w:r>
    </w:p>
    <w:p w14:paraId="06BE084F">
      <w:pPr>
        <w:spacing w:line="900" w:lineRule="exact"/>
        <w:jc w:val="center"/>
        <w:rPr>
          <w:rFonts w:hint="eastAsia" w:ascii="宋体" w:hAnsi="宋体" w:cs="宋体"/>
          <w:b/>
          <w:color w:val="auto"/>
          <w:sz w:val="72"/>
          <w:highlight w:val="none"/>
        </w:rPr>
      </w:pPr>
    </w:p>
    <w:p w14:paraId="4351770C">
      <w:pPr>
        <w:jc w:val="center"/>
        <w:rPr>
          <w:rFonts w:hint="eastAsia" w:ascii="宋体" w:hAnsi="宋体" w:cs="宋体"/>
          <w:b/>
          <w:color w:val="auto"/>
          <w:sz w:val="72"/>
          <w:highlight w:val="none"/>
        </w:rPr>
      </w:pPr>
      <w:r>
        <w:rPr>
          <w:rFonts w:hint="eastAsia" w:ascii="宋体" w:hAnsi="宋体" w:cs="宋体"/>
          <w:b/>
          <w:color w:val="auto"/>
          <w:sz w:val="72"/>
          <w:highlight w:val="none"/>
        </w:rPr>
        <w:t>件</w:t>
      </w:r>
    </w:p>
    <w:p w14:paraId="2750D19D">
      <w:pPr>
        <w:spacing w:after="120" w:afterLines="50" w:line="500" w:lineRule="exact"/>
        <w:rPr>
          <w:rFonts w:hint="eastAsia" w:ascii="宋体" w:hAnsi="宋体" w:cs="宋体"/>
          <w:b/>
          <w:color w:val="auto"/>
          <w:sz w:val="32"/>
          <w:highlight w:val="none"/>
          <w:u w:val="single"/>
        </w:rPr>
      </w:pPr>
      <w:r>
        <w:rPr>
          <w:rFonts w:hint="eastAsia" w:ascii="宋体" w:hAnsi="宋体" w:cs="宋体"/>
          <w:b/>
          <w:color w:val="auto"/>
          <w:sz w:val="30"/>
          <w:highlight w:val="none"/>
        </w:rPr>
        <w:t xml:space="preserve">                 </w:t>
      </w:r>
      <w:r>
        <w:rPr>
          <w:rFonts w:hint="eastAsia" w:ascii="宋体" w:hAnsi="宋体" w:cs="宋体"/>
          <w:b/>
          <w:color w:val="auto"/>
          <w:sz w:val="32"/>
          <w:highlight w:val="none"/>
        </w:rPr>
        <w:t>投标人：</w:t>
      </w:r>
      <w:r>
        <w:rPr>
          <w:rFonts w:hint="eastAsia" w:ascii="宋体" w:hAnsi="宋体" w:cs="宋体"/>
          <w:b/>
          <w:color w:val="auto"/>
          <w:sz w:val="32"/>
          <w:highlight w:val="none"/>
          <w:u w:val="single"/>
        </w:rPr>
        <w:t xml:space="preserve">               </w:t>
      </w:r>
    </w:p>
    <w:p w14:paraId="62864E19">
      <w:pPr>
        <w:spacing w:after="120" w:afterLines="50" w:line="500" w:lineRule="exact"/>
        <w:jc w:val="center"/>
        <w:rPr>
          <w:rFonts w:hint="eastAsia" w:ascii="宋体" w:hAnsi="宋体" w:cs="宋体"/>
          <w:color w:val="auto"/>
          <w:highlight w:val="none"/>
        </w:rPr>
      </w:pP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年</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月</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日</w:t>
      </w:r>
    </w:p>
    <w:p w14:paraId="556EFBA8">
      <w:pPr>
        <w:pStyle w:val="30"/>
        <w:rPr>
          <w:rFonts w:hint="eastAsia" w:ascii="宋体" w:hAnsi="宋体" w:cs="宋体"/>
          <w:color w:val="auto"/>
          <w:highlight w:val="none"/>
        </w:rPr>
      </w:pPr>
    </w:p>
    <w:p w14:paraId="1DB94F6C">
      <w:pPr>
        <w:pStyle w:val="30"/>
        <w:rPr>
          <w:rFonts w:hint="eastAsia" w:ascii="宋体" w:hAnsi="宋体" w:cs="宋体"/>
          <w:color w:val="auto"/>
          <w:highlight w:val="none"/>
        </w:rPr>
      </w:pPr>
    </w:p>
    <w:p w14:paraId="6928B195">
      <w:pPr>
        <w:pStyle w:val="30"/>
        <w:rPr>
          <w:rFonts w:hint="eastAsia" w:ascii="宋体" w:hAnsi="宋体" w:cs="宋体"/>
          <w:color w:val="auto"/>
          <w:highlight w:val="none"/>
        </w:rPr>
      </w:pPr>
    </w:p>
    <w:p w14:paraId="593188AE">
      <w:pPr>
        <w:pStyle w:val="30"/>
        <w:rPr>
          <w:rFonts w:hint="eastAsia" w:ascii="宋体" w:hAnsi="宋体" w:cs="宋体"/>
          <w:color w:val="auto"/>
          <w:highlight w:val="none"/>
        </w:rPr>
      </w:pPr>
    </w:p>
    <w:p w14:paraId="5C555619">
      <w:pPr>
        <w:pStyle w:val="30"/>
        <w:rPr>
          <w:rFonts w:hint="eastAsia" w:ascii="宋体" w:hAnsi="宋体" w:cs="宋体"/>
          <w:color w:val="auto"/>
          <w:highlight w:val="none"/>
        </w:rPr>
      </w:pPr>
    </w:p>
    <w:p w14:paraId="7911CAC4">
      <w:pPr>
        <w:pStyle w:val="95"/>
        <w:pageBreakBefore/>
        <w:rPr>
          <w:rFonts w:hint="eastAsia" w:ascii="宋体" w:hAnsi="宋体" w:eastAsia="宋体" w:cs="宋体"/>
          <w:color w:val="auto"/>
          <w:highlight w:val="none"/>
        </w:rPr>
      </w:pPr>
      <w:r>
        <w:rPr>
          <w:rFonts w:hint="eastAsia" w:ascii="宋体" w:hAnsi="宋体" w:eastAsia="宋体" w:cs="宋体"/>
          <w:color w:val="auto"/>
          <w:highlight w:val="none"/>
        </w:rPr>
        <w:t>投标文件资料清单</w:t>
      </w:r>
    </w:p>
    <w:tbl>
      <w:tblPr>
        <w:tblStyle w:val="35"/>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64B25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A9CC2C1">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5460" w:type="dxa"/>
            <w:vAlign w:val="center"/>
          </w:tcPr>
          <w:p w14:paraId="2AE84234">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资料名称</w:t>
            </w:r>
          </w:p>
        </w:tc>
        <w:tc>
          <w:tcPr>
            <w:tcW w:w="1854" w:type="dxa"/>
            <w:vAlign w:val="center"/>
          </w:tcPr>
          <w:p w14:paraId="2B40816F">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页码范围</w:t>
            </w:r>
          </w:p>
        </w:tc>
      </w:tr>
      <w:tr w14:paraId="26AA0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BA8173">
            <w:pPr>
              <w:jc w:val="center"/>
              <w:rPr>
                <w:rFonts w:hint="eastAsia" w:ascii="宋体" w:hAnsi="宋体" w:cs="宋体"/>
                <w:color w:val="auto"/>
                <w:sz w:val="24"/>
                <w:highlight w:val="none"/>
              </w:rPr>
            </w:pPr>
            <w:r>
              <w:rPr>
                <w:rFonts w:hint="eastAsia" w:ascii="宋体" w:hAnsi="宋体" w:cs="宋体"/>
                <w:color w:val="auto"/>
                <w:sz w:val="24"/>
                <w:highlight w:val="none"/>
              </w:rPr>
              <w:t>一</w:t>
            </w:r>
          </w:p>
        </w:tc>
        <w:tc>
          <w:tcPr>
            <w:tcW w:w="5460" w:type="dxa"/>
            <w:vAlign w:val="center"/>
          </w:tcPr>
          <w:p w14:paraId="3904EDF9">
            <w:pPr>
              <w:rPr>
                <w:rFonts w:hint="eastAsia" w:ascii="宋体" w:hAnsi="宋体" w:cs="宋体"/>
                <w:color w:val="auto"/>
                <w:highlight w:val="none"/>
                <w:u w:val="single"/>
              </w:rPr>
            </w:pPr>
            <w:r>
              <w:rPr>
                <w:rFonts w:hint="eastAsia" w:ascii="宋体" w:hAnsi="宋体" w:cs="宋体"/>
                <w:bCs/>
                <w:color w:val="auto"/>
                <w:sz w:val="24"/>
                <w:highlight w:val="none"/>
              </w:rPr>
              <w:t>开标一览表</w:t>
            </w:r>
          </w:p>
        </w:tc>
        <w:tc>
          <w:tcPr>
            <w:tcW w:w="1854" w:type="dxa"/>
            <w:vAlign w:val="center"/>
          </w:tcPr>
          <w:p w14:paraId="0D2A3118">
            <w:pPr>
              <w:spacing w:line="360" w:lineRule="auto"/>
              <w:jc w:val="center"/>
              <w:rPr>
                <w:rFonts w:hint="eastAsia" w:ascii="宋体" w:hAnsi="宋体" w:cs="宋体"/>
                <w:b/>
                <w:color w:val="auto"/>
                <w:sz w:val="24"/>
                <w:highlight w:val="none"/>
              </w:rPr>
            </w:pPr>
          </w:p>
        </w:tc>
      </w:tr>
      <w:tr w14:paraId="677E9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48FFC1D">
            <w:pPr>
              <w:jc w:val="center"/>
              <w:rPr>
                <w:rFonts w:hint="eastAsia" w:ascii="宋体" w:hAnsi="宋体" w:cs="宋体"/>
                <w:color w:val="auto"/>
                <w:sz w:val="24"/>
                <w:highlight w:val="none"/>
              </w:rPr>
            </w:pPr>
            <w:r>
              <w:rPr>
                <w:rFonts w:hint="eastAsia" w:ascii="宋体" w:hAnsi="宋体" w:cs="宋体"/>
                <w:color w:val="auto"/>
                <w:sz w:val="24"/>
                <w:highlight w:val="none"/>
              </w:rPr>
              <w:t>二</w:t>
            </w:r>
          </w:p>
        </w:tc>
        <w:tc>
          <w:tcPr>
            <w:tcW w:w="5460" w:type="dxa"/>
            <w:vAlign w:val="center"/>
          </w:tcPr>
          <w:p w14:paraId="02C7CAD1">
            <w:pPr>
              <w:rPr>
                <w:rFonts w:hint="eastAsia" w:ascii="宋体" w:hAnsi="宋体" w:cs="宋体"/>
                <w:bCs/>
                <w:color w:val="auto"/>
                <w:sz w:val="24"/>
                <w:highlight w:val="none"/>
              </w:rPr>
            </w:pPr>
            <w:r>
              <w:rPr>
                <w:rFonts w:hint="eastAsia" w:ascii="宋体" w:hAnsi="宋体" w:cs="宋体"/>
                <w:color w:val="auto"/>
                <w:sz w:val="24"/>
                <w:highlight w:val="none"/>
              </w:rPr>
              <w:t>投标人情况综合简介</w:t>
            </w:r>
          </w:p>
        </w:tc>
        <w:tc>
          <w:tcPr>
            <w:tcW w:w="1854" w:type="dxa"/>
            <w:vAlign w:val="center"/>
          </w:tcPr>
          <w:p w14:paraId="45BC6514">
            <w:pPr>
              <w:spacing w:line="360" w:lineRule="auto"/>
              <w:jc w:val="center"/>
              <w:rPr>
                <w:rFonts w:hint="eastAsia" w:ascii="宋体" w:hAnsi="宋体" w:cs="宋体"/>
                <w:b/>
                <w:color w:val="auto"/>
                <w:sz w:val="24"/>
                <w:highlight w:val="none"/>
              </w:rPr>
            </w:pPr>
          </w:p>
        </w:tc>
      </w:tr>
      <w:tr w14:paraId="67DB6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D6B0C22">
            <w:pPr>
              <w:jc w:val="center"/>
              <w:rPr>
                <w:rFonts w:hint="eastAsia" w:ascii="宋体" w:hAnsi="宋体" w:cs="宋体"/>
                <w:bCs/>
                <w:color w:val="auto"/>
                <w:sz w:val="24"/>
                <w:highlight w:val="none"/>
              </w:rPr>
            </w:pPr>
            <w:r>
              <w:rPr>
                <w:rFonts w:hint="eastAsia" w:ascii="宋体" w:hAnsi="宋体" w:cs="宋体"/>
                <w:bCs/>
                <w:color w:val="auto"/>
                <w:sz w:val="24"/>
                <w:highlight w:val="none"/>
              </w:rPr>
              <w:t>三</w:t>
            </w:r>
          </w:p>
        </w:tc>
        <w:tc>
          <w:tcPr>
            <w:tcW w:w="5460" w:type="dxa"/>
            <w:vAlign w:val="center"/>
          </w:tcPr>
          <w:p w14:paraId="0EBD7AA0">
            <w:pPr>
              <w:rPr>
                <w:rFonts w:hint="eastAsia" w:ascii="宋体" w:hAnsi="宋体" w:cs="宋体"/>
                <w:bCs/>
                <w:color w:val="auto"/>
                <w:sz w:val="24"/>
                <w:highlight w:val="none"/>
              </w:rPr>
            </w:pPr>
            <w:r>
              <w:rPr>
                <w:rFonts w:hint="eastAsia" w:ascii="宋体" w:hAnsi="宋体" w:cs="宋体"/>
                <w:bCs/>
                <w:color w:val="auto"/>
                <w:sz w:val="24"/>
                <w:highlight w:val="none"/>
              </w:rPr>
              <w:t>投标函</w:t>
            </w:r>
          </w:p>
        </w:tc>
        <w:tc>
          <w:tcPr>
            <w:tcW w:w="1854" w:type="dxa"/>
            <w:vAlign w:val="center"/>
          </w:tcPr>
          <w:p w14:paraId="161612C9">
            <w:pPr>
              <w:spacing w:line="360" w:lineRule="auto"/>
              <w:jc w:val="center"/>
              <w:rPr>
                <w:rFonts w:hint="eastAsia" w:ascii="宋体" w:hAnsi="宋体" w:cs="宋体"/>
                <w:b/>
                <w:color w:val="auto"/>
                <w:sz w:val="24"/>
                <w:highlight w:val="none"/>
              </w:rPr>
            </w:pPr>
          </w:p>
        </w:tc>
      </w:tr>
      <w:tr w14:paraId="325D9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71ED2CC">
            <w:pPr>
              <w:jc w:val="center"/>
              <w:rPr>
                <w:rFonts w:hint="eastAsia" w:ascii="宋体" w:hAnsi="宋体" w:cs="宋体"/>
                <w:color w:val="auto"/>
                <w:sz w:val="24"/>
                <w:highlight w:val="none"/>
              </w:rPr>
            </w:pPr>
            <w:r>
              <w:rPr>
                <w:rFonts w:hint="eastAsia" w:ascii="宋体" w:hAnsi="宋体" w:cs="宋体"/>
                <w:color w:val="auto"/>
                <w:sz w:val="24"/>
                <w:highlight w:val="none"/>
              </w:rPr>
              <w:t>四</w:t>
            </w:r>
          </w:p>
        </w:tc>
        <w:tc>
          <w:tcPr>
            <w:tcW w:w="5460" w:type="dxa"/>
            <w:vAlign w:val="center"/>
          </w:tcPr>
          <w:p w14:paraId="2489BD85">
            <w:pPr>
              <w:rPr>
                <w:rFonts w:hint="eastAsia" w:ascii="宋体" w:hAnsi="宋体" w:cs="宋体"/>
                <w:bCs/>
                <w:color w:val="auto"/>
                <w:highlight w:val="none"/>
              </w:rPr>
            </w:pPr>
            <w:r>
              <w:rPr>
                <w:rFonts w:hint="eastAsia" w:ascii="宋体" w:hAnsi="宋体" w:cs="宋体"/>
                <w:bCs/>
                <w:color w:val="auto"/>
                <w:highlight w:val="none"/>
              </w:rPr>
              <w:t>投标分项报价表</w:t>
            </w:r>
          </w:p>
        </w:tc>
        <w:tc>
          <w:tcPr>
            <w:tcW w:w="1854" w:type="dxa"/>
            <w:vAlign w:val="center"/>
          </w:tcPr>
          <w:p w14:paraId="53384FE3">
            <w:pPr>
              <w:spacing w:line="360" w:lineRule="auto"/>
              <w:jc w:val="center"/>
              <w:rPr>
                <w:rFonts w:hint="eastAsia" w:ascii="宋体" w:hAnsi="宋体" w:cs="宋体"/>
                <w:b/>
                <w:color w:val="auto"/>
                <w:sz w:val="24"/>
                <w:highlight w:val="none"/>
              </w:rPr>
            </w:pPr>
          </w:p>
        </w:tc>
      </w:tr>
      <w:tr w14:paraId="5B8A0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B6845D3">
            <w:pPr>
              <w:jc w:val="center"/>
              <w:rPr>
                <w:rFonts w:hint="eastAsia" w:ascii="宋体" w:hAnsi="宋体" w:cs="宋体"/>
                <w:color w:val="auto"/>
                <w:sz w:val="24"/>
                <w:highlight w:val="none"/>
              </w:rPr>
            </w:pPr>
            <w:r>
              <w:rPr>
                <w:rFonts w:hint="eastAsia" w:ascii="宋体" w:hAnsi="宋体" w:cs="宋体"/>
                <w:color w:val="auto"/>
                <w:sz w:val="24"/>
                <w:highlight w:val="none"/>
              </w:rPr>
              <w:t>五</w:t>
            </w:r>
          </w:p>
        </w:tc>
        <w:tc>
          <w:tcPr>
            <w:tcW w:w="5460" w:type="dxa"/>
            <w:vAlign w:val="center"/>
          </w:tcPr>
          <w:p w14:paraId="7A4B975A">
            <w:pPr>
              <w:rPr>
                <w:rFonts w:hint="eastAsia" w:ascii="宋体" w:hAnsi="宋体" w:cs="宋体"/>
                <w:bCs/>
                <w:color w:val="auto"/>
                <w:sz w:val="24"/>
                <w:highlight w:val="none"/>
              </w:rPr>
            </w:pPr>
            <w:r>
              <w:rPr>
                <w:rFonts w:hint="eastAsia" w:ascii="宋体" w:hAnsi="宋体" w:cs="宋体"/>
                <w:color w:val="auto"/>
                <w:sz w:val="24"/>
                <w:highlight w:val="none"/>
              </w:rPr>
              <w:t>投标响应表</w:t>
            </w:r>
          </w:p>
        </w:tc>
        <w:tc>
          <w:tcPr>
            <w:tcW w:w="1854" w:type="dxa"/>
            <w:vAlign w:val="center"/>
          </w:tcPr>
          <w:p w14:paraId="40FA4085">
            <w:pPr>
              <w:spacing w:line="360" w:lineRule="auto"/>
              <w:jc w:val="center"/>
              <w:rPr>
                <w:rFonts w:hint="eastAsia" w:ascii="宋体" w:hAnsi="宋体" w:cs="宋体"/>
                <w:b/>
                <w:color w:val="auto"/>
                <w:sz w:val="24"/>
                <w:highlight w:val="none"/>
              </w:rPr>
            </w:pPr>
          </w:p>
        </w:tc>
      </w:tr>
      <w:tr w14:paraId="4BFF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5A143071">
            <w:pPr>
              <w:jc w:val="center"/>
              <w:rPr>
                <w:rFonts w:hint="eastAsia" w:ascii="宋体" w:hAnsi="宋体" w:cs="宋体"/>
                <w:color w:val="auto"/>
                <w:sz w:val="24"/>
                <w:highlight w:val="none"/>
              </w:rPr>
            </w:pPr>
            <w:r>
              <w:rPr>
                <w:rFonts w:hint="eastAsia" w:ascii="宋体" w:hAnsi="宋体" w:cs="宋体"/>
                <w:color w:val="auto"/>
                <w:sz w:val="24"/>
                <w:highlight w:val="none"/>
              </w:rPr>
              <w:t>六</w:t>
            </w:r>
          </w:p>
        </w:tc>
        <w:tc>
          <w:tcPr>
            <w:tcW w:w="5460" w:type="dxa"/>
            <w:vAlign w:val="center"/>
          </w:tcPr>
          <w:p w14:paraId="53934DB8">
            <w:pPr>
              <w:rPr>
                <w:rFonts w:hint="eastAsia" w:ascii="宋体" w:hAnsi="宋体" w:cs="宋体"/>
                <w:color w:val="auto"/>
                <w:sz w:val="24"/>
                <w:highlight w:val="none"/>
              </w:rPr>
            </w:pPr>
            <w:r>
              <w:rPr>
                <w:rFonts w:hint="eastAsia" w:ascii="宋体" w:hAnsi="宋体" w:cs="宋体"/>
                <w:color w:val="auto"/>
                <w:sz w:val="24"/>
                <w:highlight w:val="none"/>
              </w:rPr>
              <w:t>服务质量承诺</w:t>
            </w:r>
          </w:p>
        </w:tc>
        <w:tc>
          <w:tcPr>
            <w:tcW w:w="1854" w:type="dxa"/>
            <w:vAlign w:val="center"/>
          </w:tcPr>
          <w:p w14:paraId="5519708C">
            <w:pPr>
              <w:spacing w:line="360" w:lineRule="auto"/>
              <w:rPr>
                <w:rFonts w:hint="eastAsia" w:ascii="宋体" w:hAnsi="宋体" w:cs="宋体"/>
                <w:b/>
                <w:color w:val="auto"/>
                <w:sz w:val="24"/>
                <w:highlight w:val="none"/>
              </w:rPr>
            </w:pPr>
          </w:p>
        </w:tc>
      </w:tr>
      <w:tr w14:paraId="5A698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trPr>
        <w:tc>
          <w:tcPr>
            <w:tcW w:w="1050" w:type="dxa"/>
            <w:vAlign w:val="center"/>
          </w:tcPr>
          <w:p w14:paraId="254A906D">
            <w:pPr>
              <w:jc w:val="center"/>
              <w:rPr>
                <w:rFonts w:hint="eastAsia" w:ascii="宋体" w:hAnsi="宋体" w:cs="宋体"/>
                <w:color w:val="auto"/>
                <w:sz w:val="24"/>
                <w:highlight w:val="none"/>
              </w:rPr>
            </w:pPr>
            <w:r>
              <w:rPr>
                <w:rFonts w:hint="eastAsia" w:ascii="宋体" w:hAnsi="宋体" w:cs="宋体"/>
                <w:color w:val="auto"/>
                <w:sz w:val="24"/>
                <w:highlight w:val="none"/>
              </w:rPr>
              <w:t>七</w:t>
            </w:r>
          </w:p>
        </w:tc>
        <w:tc>
          <w:tcPr>
            <w:tcW w:w="5460" w:type="dxa"/>
            <w:vAlign w:val="center"/>
          </w:tcPr>
          <w:p w14:paraId="38935D6C">
            <w:pPr>
              <w:rPr>
                <w:rFonts w:hint="eastAsia" w:ascii="宋体" w:hAnsi="宋体" w:cs="宋体"/>
                <w:color w:val="auto"/>
                <w:sz w:val="24"/>
                <w:highlight w:val="none"/>
              </w:rPr>
            </w:pPr>
            <w:r>
              <w:rPr>
                <w:rFonts w:hint="eastAsia" w:ascii="宋体" w:hAnsi="宋体" w:cs="宋体"/>
                <w:color w:val="auto"/>
                <w:sz w:val="24"/>
                <w:highlight w:val="none"/>
              </w:rPr>
              <w:t>有关证明文件</w:t>
            </w:r>
          </w:p>
        </w:tc>
        <w:tc>
          <w:tcPr>
            <w:tcW w:w="1854" w:type="dxa"/>
            <w:vAlign w:val="center"/>
          </w:tcPr>
          <w:p w14:paraId="0873B814">
            <w:pPr>
              <w:spacing w:line="360" w:lineRule="auto"/>
              <w:rPr>
                <w:rFonts w:hint="eastAsia" w:ascii="宋体" w:hAnsi="宋体" w:cs="宋体"/>
                <w:b/>
                <w:color w:val="auto"/>
                <w:sz w:val="24"/>
                <w:highlight w:val="none"/>
              </w:rPr>
            </w:pPr>
          </w:p>
        </w:tc>
      </w:tr>
      <w:tr w14:paraId="3828B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1050" w:type="dxa"/>
            <w:vAlign w:val="center"/>
          </w:tcPr>
          <w:p w14:paraId="1C97FCBC">
            <w:pPr>
              <w:ind w:firstLine="240" w:firstLineChars="100"/>
              <w:rPr>
                <w:rFonts w:hint="eastAsia" w:ascii="宋体" w:hAnsi="宋体" w:cs="宋体"/>
                <w:color w:val="auto"/>
                <w:sz w:val="24"/>
                <w:highlight w:val="none"/>
              </w:rPr>
            </w:pPr>
            <w:r>
              <w:rPr>
                <w:rFonts w:hint="eastAsia" w:ascii="宋体" w:hAnsi="宋体" w:cs="宋体"/>
                <w:color w:val="auto"/>
                <w:sz w:val="24"/>
                <w:highlight w:val="none"/>
              </w:rPr>
              <w:t>八</w:t>
            </w:r>
          </w:p>
        </w:tc>
        <w:tc>
          <w:tcPr>
            <w:tcW w:w="5460" w:type="dxa"/>
            <w:vAlign w:val="center"/>
          </w:tcPr>
          <w:p w14:paraId="0DC7779D">
            <w:pPr>
              <w:rPr>
                <w:rFonts w:hint="eastAsia" w:ascii="宋体" w:hAnsi="宋体" w:cs="宋体"/>
                <w:color w:val="auto"/>
                <w:sz w:val="24"/>
                <w:highlight w:val="none"/>
              </w:rPr>
            </w:pPr>
            <w:r>
              <w:rPr>
                <w:rFonts w:hint="eastAsia" w:ascii="宋体" w:hAnsi="宋体" w:cs="宋体"/>
                <w:color w:val="auto"/>
                <w:sz w:val="24"/>
                <w:highlight w:val="none"/>
              </w:rPr>
              <w:t>中小企业声明函</w:t>
            </w:r>
          </w:p>
        </w:tc>
        <w:tc>
          <w:tcPr>
            <w:tcW w:w="1854" w:type="dxa"/>
            <w:vAlign w:val="center"/>
          </w:tcPr>
          <w:p w14:paraId="3844882B">
            <w:pPr>
              <w:spacing w:line="360" w:lineRule="auto"/>
              <w:rPr>
                <w:rFonts w:hint="eastAsia" w:ascii="宋体" w:hAnsi="宋体" w:cs="宋体"/>
                <w:b/>
                <w:color w:val="auto"/>
                <w:sz w:val="24"/>
                <w:highlight w:val="none"/>
              </w:rPr>
            </w:pPr>
          </w:p>
        </w:tc>
      </w:tr>
      <w:tr w14:paraId="488A0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0C908682">
            <w:pPr>
              <w:jc w:val="center"/>
              <w:rPr>
                <w:rFonts w:hint="eastAsia" w:ascii="宋体" w:hAnsi="宋体" w:cs="宋体"/>
                <w:color w:val="auto"/>
                <w:sz w:val="24"/>
                <w:highlight w:val="none"/>
              </w:rPr>
            </w:pPr>
            <w:r>
              <w:rPr>
                <w:rFonts w:hint="eastAsia" w:ascii="宋体" w:hAnsi="宋体" w:cs="宋体"/>
                <w:color w:val="auto"/>
                <w:sz w:val="24"/>
                <w:highlight w:val="none"/>
              </w:rPr>
              <w:t>九</w:t>
            </w:r>
          </w:p>
        </w:tc>
        <w:tc>
          <w:tcPr>
            <w:tcW w:w="5460" w:type="dxa"/>
            <w:vAlign w:val="center"/>
          </w:tcPr>
          <w:p w14:paraId="1F84E1A6">
            <w:pPr>
              <w:rPr>
                <w:rFonts w:hint="eastAsia" w:ascii="宋体" w:hAnsi="宋体" w:cs="宋体"/>
                <w:color w:val="auto"/>
                <w:sz w:val="24"/>
                <w:highlight w:val="none"/>
              </w:rPr>
            </w:pPr>
            <w:r>
              <w:rPr>
                <w:rFonts w:hint="eastAsia" w:ascii="宋体" w:hAnsi="宋体" w:cs="宋体"/>
                <w:color w:val="auto"/>
                <w:sz w:val="24"/>
                <w:highlight w:val="none"/>
              </w:rPr>
              <w:t>售后服务</w:t>
            </w:r>
          </w:p>
        </w:tc>
        <w:tc>
          <w:tcPr>
            <w:tcW w:w="1854" w:type="dxa"/>
            <w:vAlign w:val="center"/>
          </w:tcPr>
          <w:p w14:paraId="47D16E87">
            <w:pPr>
              <w:spacing w:line="360" w:lineRule="auto"/>
              <w:rPr>
                <w:rFonts w:hint="eastAsia" w:ascii="宋体" w:hAnsi="宋体" w:cs="宋体"/>
                <w:b/>
                <w:color w:val="auto"/>
                <w:sz w:val="24"/>
                <w:highlight w:val="none"/>
              </w:rPr>
            </w:pPr>
          </w:p>
        </w:tc>
      </w:tr>
      <w:tr w14:paraId="07FF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723AD87F">
            <w:pPr>
              <w:jc w:val="center"/>
              <w:rPr>
                <w:rFonts w:hint="eastAsia" w:ascii="宋体" w:hAnsi="宋体" w:cs="宋体"/>
                <w:color w:val="auto"/>
                <w:sz w:val="24"/>
                <w:highlight w:val="none"/>
              </w:rPr>
            </w:pPr>
            <w:r>
              <w:rPr>
                <w:rFonts w:hint="eastAsia" w:ascii="宋体" w:hAnsi="宋体" w:cs="宋体"/>
                <w:color w:val="auto"/>
                <w:sz w:val="24"/>
                <w:highlight w:val="none"/>
              </w:rPr>
              <w:t>十</w:t>
            </w:r>
          </w:p>
        </w:tc>
        <w:tc>
          <w:tcPr>
            <w:tcW w:w="5460" w:type="dxa"/>
            <w:vAlign w:val="center"/>
          </w:tcPr>
          <w:p w14:paraId="56907001">
            <w:pPr>
              <w:rPr>
                <w:rFonts w:hint="eastAsia" w:ascii="宋体" w:hAnsi="宋体" w:cs="宋体"/>
                <w:color w:val="auto"/>
                <w:sz w:val="24"/>
                <w:highlight w:val="none"/>
              </w:rPr>
            </w:pPr>
            <w:r>
              <w:rPr>
                <w:rFonts w:hint="eastAsia" w:ascii="宋体" w:hAnsi="宋体" w:cs="宋体"/>
                <w:color w:val="auto"/>
                <w:sz w:val="24"/>
                <w:highlight w:val="none"/>
              </w:rPr>
              <w:t>所投服务的技术资料等</w:t>
            </w:r>
          </w:p>
        </w:tc>
        <w:tc>
          <w:tcPr>
            <w:tcW w:w="1854" w:type="dxa"/>
            <w:vAlign w:val="center"/>
          </w:tcPr>
          <w:p w14:paraId="7E25B78B">
            <w:pPr>
              <w:spacing w:line="360" w:lineRule="auto"/>
              <w:rPr>
                <w:rFonts w:hint="eastAsia" w:ascii="宋体" w:hAnsi="宋体" w:cs="宋体"/>
                <w:b/>
                <w:color w:val="auto"/>
                <w:sz w:val="24"/>
                <w:highlight w:val="none"/>
              </w:rPr>
            </w:pPr>
          </w:p>
        </w:tc>
      </w:tr>
      <w:tr w14:paraId="0223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9" w:hRule="atLeast"/>
        </w:trPr>
        <w:tc>
          <w:tcPr>
            <w:tcW w:w="1050" w:type="dxa"/>
            <w:vAlign w:val="center"/>
          </w:tcPr>
          <w:p w14:paraId="6642D2FC">
            <w:pPr>
              <w:jc w:val="center"/>
              <w:rPr>
                <w:rFonts w:hint="eastAsia" w:ascii="宋体" w:hAnsi="宋体" w:cs="宋体"/>
                <w:color w:val="auto"/>
                <w:sz w:val="24"/>
                <w:highlight w:val="none"/>
              </w:rPr>
            </w:pPr>
            <w:r>
              <w:rPr>
                <w:rFonts w:hint="eastAsia" w:ascii="宋体" w:hAnsi="宋体" w:cs="宋体"/>
                <w:color w:val="auto"/>
                <w:sz w:val="24"/>
                <w:highlight w:val="none"/>
              </w:rPr>
              <w:t>十一</w:t>
            </w:r>
          </w:p>
        </w:tc>
        <w:tc>
          <w:tcPr>
            <w:tcW w:w="5460" w:type="dxa"/>
            <w:vAlign w:val="center"/>
          </w:tcPr>
          <w:p w14:paraId="2CA5007D">
            <w:pPr>
              <w:rPr>
                <w:rFonts w:hint="eastAsia" w:ascii="宋体" w:hAnsi="宋体" w:cs="宋体"/>
                <w:color w:val="auto"/>
                <w:sz w:val="24"/>
                <w:highlight w:val="none"/>
              </w:rPr>
            </w:pPr>
            <w:r>
              <w:rPr>
                <w:rFonts w:hint="eastAsia" w:ascii="宋体" w:hAnsi="宋体" w:cs="宋体"/>
                <w:color w:val="auto"/>
                <w:sz w:val="24"/>
                <w:highlight w:val="none"/>
              </w:rPr>
              <w:t>其他投标人认为需要提供得材料等</w:t>
            </w:r>
          </w:p>
        </w:tc>
        <w:tc>
          <w:tcPr>
            <w:tcW w:w="1854" w:type="dxa"/>
            <w:vAlign w:val="center"/>
          </w:tcPr>
          <w:p w14:paraId="51108750">
            <w:pPr>
              <w:spacing w:line="360" w:lineRule="auto"/>
              <w:rPr>
                <w:rFonts w:hint="eastAsia" w:ascii="宋体" w:hAnsi="宋体" w:cs="宋体"/>
                <w:b/>
                <w:color w:val="auto"/>
                <w:sz w:val="24"/>
                <w:highlight w:val="none"/>
              </w:rPr>
            </w:pPr>
          </w:p>
        </w:tc>
      </w:tr>
      <w:tr w14:paraId="6B52F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35A10C76">
            <w:pPr>
              <w:jc w:val="center"/>
              <w:rPr>
                <w:rFonts w:hint="eastAsia" w:ascii="宋体" w:hAnsi="宋体" w:cs="宋体"/>
                <w:color w:val="auto"/>
                <w:sz w:val="24"/>
                <w:highlight w:val="none"/>
              </w:rPr>
            </w:pPr>
            <w:r>
              <w:rPr>
                <w:rFonts w:hint="eastAsia" w:ascii="宋体" w:hAnsi="宋体" w:cs="宋体"/>
                <w:color w:val="auto"/>
                <w:sz w:val="24"/>
                <w:highlight w:val="none"/>
              </w:rPr>
              <w:t>十二</w:t>
            </w:r>
          </w:p>
        </w:tc>
        <w:tc>
          <w:tcPr>
            <w:tcW w:w="5460" w:type="dxa"/>
            <w:vAlign w:val="center"/>
          </w:tcPr>
          <w:p w14:paraId="7E67E022">
            <w:pPr>
              <w:rPr>
                <w:rFonts w:hint="eastAsia" w:ascii="宋体" w:hAnsi="宋体" w:cs="宋体"/>
                <w:color w:val="auto"/>
                <w:sz w:val="24"/>
                <w:highlight w:val="none"/>
              </w:rPr>
            </w:pPr>
            <w:r>
              <w:rPr>
                <w:rFonts w:hint="eastAsia" w:ascii="宋体" w:hAnsi="宋体" w:cs="宋体"/>
                <w:color w:val="auto"/>
                <w:sz w:val="24"/>
                <w:highlight w:val="none"/>
              </w:rPr>
              <w:t>政府采购</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诚信承诺书</w:t>
            </w:r>
          </w:p>
          <w:p w14:paraId="720E8451">
            <w:pPr>
              <w:jc w:val="center"/>
              <w:rPr>
                <w:rFonts w:hint="eastAsia" w:ascii="宋体" w:hAnsi="宋体" w:cs="宋体"/>
                <w:color w:val="auto"/>
                <w:sz w:val="24"/>
                <w:highlight w:val="none"/>
              </w:rPr>
            </w:pPr>
          </w:p>
        </w:tc>
        <w:tc>
          <w:tcPr>
            <w:tcW w:w="1854" w:type="dxa"/>
            <w:vAlign w:val="center"/>
          </w:tcPr>
          <w:p w14:paraId="31F6FCF4">
            <w:pPr>
              <w:spacing w:line="360" w:lineRule="auto"/>
              <w:rPr>
                <w:rFonts w:hint="eastAsia" w:ascii="宋体" w:hAnsi="宋体" w:cs="宋体"/>
                <w:b/>
                <w:color w:val="auto"/>
                <w:sz w:val="24"/>
                <w:highlight w:val="none"/>
              </w:rPr>
            </w:pPr>
          </w:p>
        </w:tc>
      </w:tr>
      <w:tr w14:paraId="3850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697E9614">
            <w:pPr>
              <w:spacing w:line="500" w:lineRule="exact"/>
              <w:rPr>
                <w:rFonts w:hint="eastAsia" w:ascii="宋体" w:hAnsi="宋体" w:cs="宋体"/>
                <w:b/>
                <w:color w:val="auto"/>
                <w:sz w:val="28"/>
                <w:highlight w:val="none"/>
              </w:rPr>
            </w:pPr>
            <w:r>
              <w:rPr>
                <w:rFonts w:hint="eastAsia" w:ascii="宋体" w:hAnsi="宋体" w:cs="宋体"/>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7DD6F0B8">
      <w:pPr>
        <w:spacing w:line="500" w:lineRule="exact"/>
        <w:rPr>
          <w:rFonts w:hint="eastAsia" w:ascii="宋体" w:hAnsi="宋体" w:cs="宋体"/>
          <w:color w:val="auto"/>
          <w:sz w:val="28"/>
          <w:highlight w:val="none"/>
        </w:rPr>
      </w:pPr>
    </w:p>
    <w:p w14:paraId="39DDB183">
      <w:pPr>
        <w:pStyle w:val="30"/>
        <w:rPr>
          <w:rFonts w:hint="eastAsia" w:ascii="宋体" w:hAnsi="宋体" w:cs="宋体"/>
          <w:color w:val="auto"/>
          <w:highlight w:val="none"/>
        </w:rPr>
      </w:pPr>
    </w:p>
    <w:p w14:paraId="08EFD35F">
      <w:pPr>
        <w:pStyle w:val="30"/>
        <w:rPr>
          <w:rFonts w:hint="eastAsia" w:ascii="宋体" w:hAnsi="宋体" w:cs="宋体"/>
          <w:color w:val="auto"/>
          <w:highlight w:val="none"/>
        </w:rPr>
      </w:pPr>
    </w:p>
    <w:p w14:paraId="738CA2C0">
      <w:pPr>
        <w:pStyle w:val="30"/>
        <w:rPr>
          <w:rFonts w:hint="eastAsia" w:ascii="宋体" w:hAnsi="宋体" w:cs="宋体"/>
          <w:color w:val="auto"/>
          <w:highlight w:val="none"/>
        </w:rPr>
      </w:pPr>
    </w:p>
    <w:p w14:paraId="754C8546">
      <w:pPr>
        <w:pStyle w:val="30"/>
        <w:rPr>
          <w:rFonts w:hint="eastAsia" w:ascii="宋体" w:hAnsi="宋体" w:cs="宋体"/>
          <w:color w:val="auto"/>
          <w:highlight w:val="none"/>
        </w:rPr>
      </w:pPr>
    </w:p>
    <w:p w14:paraId="13A1D36E">
      <w:pPr>
        <w:rPr>
          <w:color w:val="auto"/>
          <w:sz w:val="32"/>
          <w:highlight w:val="none"/>
        </w:rPr>
      </w:pPr>
    </w:p>
    <w:p w14:paraId="425356C6">
      <w:pPr>
        <w:pStyle w:val="81"/>
        <w:rPr>
          <w:rFonts w:hint="eastAsia" w:hAnsi="宋体" w:cs="宋体"/>
          <w:color w:val="auto"/>
          <w:sz w:val="28"/>
          <w:highlight w:val="none"/>
        </w:rPr>
      </w:pPr>
    </w:p>
    <w:p w14:paraId="1234CA5E">
      <w:pPr>
        <w:pStyle w:val="5"/>
        <w:jc w:val="center"/>
        <w:rPr>
          <w:color w:val="auto"/>
          <w:highlight w:val="none"/>
        </w:rPr>
      </w:pPr>
      <w:r>
        <w:rPr>
          <w:rFonts w:hint="eastAsia"/>
          <w:color w:val="auto"/>
          <w:highlight w:val="none"/>
        </w:rPr>
        <w:t>一．开标一览表</w:t>
      </w:r>
    </w:p>
    <w:tbl>
      <w:tblPr>
        <w:tblStyle w:val="35"/>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23C1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0E4422DC">
            <w:pPr>
              <w:widowControl/>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项目名称</w:t>
            </w:r>
          </w:p>
        </w:tc>
        <w:tc>
          <w:tcPr>
            <w:tcW w:w="6309" w:type="dxa"/>
            <w:tcBorders>
              <w:top w:val="single" w:color="auto" w:sz="4" w:space="0"/>
              <w:bottom w:val="single" w:color="auto" w:sz="4" w:space="0"/>
              <w:right w:val="single" w:color="auto" w:sz="4" w:space="0"/>
            </w:tcBorders>
            <w:vAlign w:val="center"/>
          </w:tcPr>
          <w:p w14:paraId="66FA19ED">
            <w:pPr>
              <w:spacing w:line="360" w:lineRule="exact"/>
              <w:jc w:val="center"/>
              <w:rPr>
                <w:rFonts w:hint="eastAsia" w:ascii="宋体" w:hAnsi="宋体" w:cs="宋体"/>
                <w:bCs/>
                <w:color w:val="auto"/>
                <w:sz w:val="24"/>
                <w:highlight w:val="none"/>
                <w:u w:val="single"/>
              </w:rPr>
            </w:pPr>
          </w:p>
        </w:tc>
      </w:tr>
      <w:tr w14:paraId="52854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2966E00">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投标人全称</w:t>
            </w:r>
          </w:p>
        </w:tc>
        <w:tc>
          <w:tcPr>
            <w:tcW w:w="6309" w:type="dxa"/>
            <w:tcBorders>
              <w:top w:val="nil"/>
            </w:tcBorders>
            <w:vAlign w:val="center"/>
          </w:tcPr>
          <w:p w14:paraId="7006DE26">
            <w:pPr>
              <w:spacing w:line="360" w:lineRule="auto"/>
              <w:rPr>
                <w:rFonts w:hint="eastAsia" w:ascii="宋体" w:hAnsi="宋体" w:cs="宋体"/>
                <w:color w:val="auto"/>
                <w:sz w:val="24"/>
                <w:highlight w:val="none"/>
              </w:rPr>
            </w:pPr>
          </w:p>
        </w:tc>
      </w:tr>
      <w:tr w14:paraId="422A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D9178DF">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投标范围</w:t>
            </w:r>
          </w:p>
        </w:tc>
        <w:tc>
          <w:tcPr>
            <w:tcW w:w="6309" w:type="dxa"/>
            <w:tcBorders>
              <w:top w:val="nil"/>
            </w:tcBorders>
            <w:vAlign w:val="center"/>
          </w:tcPr>
          <w:p w14:paraId="30D6F966">
            <w:pPr>
              <w:widowControl/>
              <w:spacing w:line="360" w:lineRule="exact"/>
              <w:rPr>
                <w:rFonts w:hint="eastAsia" w:ascii="宋体" w:hAnsi="宋体" w:cs="宋体"/>
                <w:b/>
                <w:color w:val="auto"/>
                <w:sz w:val="24"/>
                <w:highlight w:val="none"/>
              </w:rPr>
            </w:pPr>
          </w:p>
        </w:tc>
      </w:tr>
      <w:tr w14:paraId="3A58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7067E61">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1、最终投标报价</w:t>
            </w:r>
          </w:p>
          <w:p w14:paraId="4F2B391D">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（人民币）</w:t>
            </w:r>
          </w:p>
          <w:p w14:paraId="483ADA56">
            <w:pPr>
              <w:spacing w:line="360" w:lineRule="exact"/>
              <w:rPr>
                <w:rFonts w:hint="eastAsia" w:ascii="宋体" w:hAnsi="宋体" w:cs="宋体"/>
                <w:color w:val="auto"/>
                <w:highlight w:val="none"/>
              </w:rPr>
            </w:pPr>
          </w:p>
        </w:tc>
        <w:tc>
          <w:tcPr>
            <w:tcW w:w="6309" w:type="dxa"/>
            <w:tcBorders>
              <w:top w:val="nil"/>
            </w:tcBorders>
            <w:vAlign w:val="center"/>
          </w:tcPr>
          <w:p w14:paraId="14D6F60D">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1、投标报价：      元、</w:t>
            </w:r>
            <w:r>
              <w:rPr>
                <w:rFonts w:hint="eastAsia" w:ascii="宋体" w:hAnsi="宋体" w:cs="宋体"/>
                <w:b/>
                <w:color w:val="auto"/>
                <w:sz w:val="24"/>
                <w:highlight w:val="none"/>
                <w:lang w:val="en-US" w:eastAsia="zh-CN"/>
              </w:rPr>
              <w:t xml:space="preserve">  </w:t>
            </w:r>
            <w:r>
              <w:rPr>
                <w:rFonts w:hint="eastAsia" w:ascii="宋体" w:hAnsi="宋体" w:cs="宋体"/>
                <w:b/>
                <w:color w:val="auto"/>
                <w:sz w:val="24"/>
                <w:highlight w:val="none"/>
              </w:rPr>
              <w:t xml:space="preserve">大写：         </w:t>
            </w:r>
          </w:p>
          <w:p w14:paraId="15AA1E47">
            <w:pPr>
              <w:pStyle w:val="79"/>
              <w:ind w:right="-21" w:firstLine="540"/>
              <w:rPr>
                <w:rFonts w:hint="eastAsia" w:ascii="宋体" w:hAnsi="宋体" w:eastAsia="宋体" w:cs="宋体"/>
                <w:color w:val="auto"/>
                <w:highlight w:val="none"/>
              </w:rPr>
            </w:pPr>
          </w:p>
        </w:tc>
      </w:tr>
      <w:tr w14:paraId="22570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663071DE">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c>
          <w:tcPr>
            <w:tcW w:w="6309" w:type="dxa"/>
            <w:tcBorders>
              <w:top w:val="nil"/>
            </w:tcBorders>
            <w:vAlign w:val="center"/>
          </w:tcPr>
          <w:p w14:paraId="6B8D2F28">
            <w:pPr>
              <w:spacing w:line="360" w:lineRule="auto"/>
              <w:jc w:val="left"/>
              <w:rPr>
                <w:rFonts w:hint="eastAsia" w:ascii="宋体" w:hAnsi="宋体" w:cs="宋体"/>
                <w:color w:val="auto"/>
                <w:sz w:val="24"/>
                <w:szCs w:val="28"/>
                <w:highlight w:val="none"/>
              </w:rPr>
            </w:pPr>
          </w:p>
        </w:tc>
      </w:tr>
    </w:tbl>
    <w:p w14:paraId="7F843FBB">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lang w:eastAsia="zh-CN"/>
        </w:rPr>
        <w:t>投标人</w:t>
      </w:r>
      <w:r>
        <w:rPr>
          <w:rFonts w:hint="eastAsia" w:ascii="宋体" w:hAnsi="宋体" w:cs="宋体"/>
          <w:color w:val="auto"/>
          <w:sz w:val="24"/>
          <w:highlight w:val="none"/>
        </w:rPr>
        <w:t>名称：（电子签章）</w:t>
      </w:r>
    </w:p>
    <w:p w14:paraId="0F8DF6DA">
      <w:pPr>
        <w:spacing w:line="380" w:lineRule="exact"/>
        <w:ind w:right="640" w:firstLine="1560" w:firstLineChars="650"/>
        <w:rPr>
          <w:rFonts w:hint="eastAsia" w:ascii="宋体" w:hAnsi="宋体" w:cs="宋体"/>
          <w:color w:val="auto"/>
          <w:sz w:val="24"/>
          <w:highlight w:val="none"/>
        </w:rPr>
      </w:pPr>
    </w:p>
    <w:p w14:paraId="5443BDDE">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授权委托人：（签字）</w:t>
      </w:r>
    </w:p>
    <w:p w14:paraId="45D7E216">
      <w:pPr>
        <w:spacing w:line="380" w:lineRule="exact"/>
        <w:ind w:right="640" w:firstLine="3600" w:firstLineChars="1500"/>
        <w:rPr>
          <w:rFonts w:hint="eastAsia" w:ascii="宋体" w:hAnsi="宋体" w:cs="宋体"/>
          <w:color w:val="auto"/>
          <w:sz w:val="24"/>
          <w:highlight w:val="none"/>
        </w:rPr>
      </w:pPr>
    </w:p>
    <w:p w14:paraId="06094A2D">
      <w:pPr>
        <w:spacing w:line="380" w:lineRule="exact"/>
        <w:jc w:val="center"/>
        <w:rPr>
          <w:rFonts w:hint="eastAsia" w:ascii="宋体" w:hAnsi="宋体" w:cs="宋体"/>
          <w:color w:val="auto"/>
          <w:sz w:val="24"/>
          <w:highlight w:val="none"/>
        </w:rPr>
      </w:pPr>
    </w:p>
    <w:p w14:paraId="2D6F4E35">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22180107">
      <w:pPr>
        <w:spacing w:before="100" w:beforeAutospacing="1" w:after="100" w:afterAutospacing="1" w:line="360" w:lineRule="auto"/>
        <w:rPr>
          <w:rFonts w:hint="eastAsia" w:ascii="宋体" w:hAnsi="宋体" w:cs="宋体"/>
          <w:b/>
          <w:color w:val="auto"/>
          <w:sz w:val="24"/>
          <w:highlight w:val="none"/>
        </w:rPr>
      </w:pPr>
      <w:r>
        <w:rPr>
          <w:rFonts w:hint="eastAsia" w:ascii="宋体" w:hAnsi="宋体" w:cs="宋体"/>
          <w:b/>
          <w:color w:val="auto"/>
          <w:sz w:val="24"/>
          <w:highlight w:val="none"/>
        </w:rPr>
        <w:t xml:space="preserve">                                           </w:t>
      </w:r>
    </w:p>
    <w:p w14:paraId="0DEC1EBF">
      <w:pPr>
        <w:spacing w:line="500" w:lineRule="exact"/>
        <w:jc w:val="center"/>
        <w:rPr>
          <w:rFonts w:hint="eastAsia" w:ascii="宋体" w:hAnsi="宋体" w:cs="宋体"/>
          <w:b/>
          <w:bCs/>
          <w:color w:val="auto"/>
          <w:sz w:val="30"/>
          <w:highlight w:val="none"/>
        </w:rPr>
      </w:pPr>
    </w:p>
    <w:p w14:paraId="36643784">
      <w:pPr>
        <w:spacing w:line="500" w:lineRule="exact"/>
        <w:jc w:val="center"/>
        <w:rPr>
          <w:rFonts w:hint="eastAsia" w:ascii="宋体" w:hAnsi="宋体" w:cs="宋体"/>
          <w:b/>
          <w:bCs/>
          <w:color w:val="auto"/>
          <w:sz w:val="30"/>
          <w:highlight w:val="none"/>
        </w:rPr>
      </w:pPr>
    </w:p>
    <w:p w14:paraId="3DB28A49">
      <w:pPr>
        <w:spacing w:line="500" w:lineRule="exact"/>
        <w:jc w:val="center"/>
        <w:rPr>
          <w:rFonts w:hint="eastAsia" w:ascii="宋体" w:hAnsi="宋体" w:cs="宋体"/>
          <w:b/>
          <w:bCs/>
          <w:color w:val="auto"/>
          <w:sz w:val="30"/>
          <w:highlight w:val="none"/>
        </w:rPr>
      </w:pPr>
    </w:p>
    <w:p w14:paraId="056FE95E">
      <w:pPr>
        <w:pStyle w:val="5"/>
        <w:jc w:val="center"/>
        <w:rPr>
          <w:color w:val="auto"/>
          <w:highlight w:val="none"/>
        </w:rPr>
      </w:pPr>
      <w:r>
        <w:rPr>
          <w:rFonts w:hint="eastAsia"/>
          <w:color w:val="auto"/>
          <w:highlight w:val="none"/>
        </w:rPr>
        <w:t>二．投标人综合情况简介</w:t>
      </w:r>
    </w:p>
    <w:p w14:paraId="31585C45">
      <w:pPr>
        <w:spacing w:line="50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25D8817C">
      <w:pPr>
        <w:pStyle w:val="30"/>
        <w:rPr>
          <w:rFonts w:hint="eastAsia" w:ascii="宋体" w:hAnsi="宋体" w:cs="宋体"/>
          <w:color w:val="auto"/>
          <w:highlight w:val="none"/>
        </w:rPr>
      </w:pPr>
    </w:p>
    <w:p w14:paraId="7DEC3148">
      <w:pPr>
        <w:pStyle w:val="5"/>
        <w:spacing w:line="500" w:lineRule="exact"/>
        <w:jc w:val="center"/>
        <w:rPr>
          <w:rFonts w:hint="eastAsia" w:ascii="宋体" w:hAnsi="宋体" w:cs="宋体"/>
          <w:b w:val="0"/>
          <w:color w:val="auto"/>
          <w:sz w:val="24"/>
          <w:highlight w:val="none"/>
        </w:rPr>
      </w:pPr>
      <w:r>
        <w:rPr>
          <w:rFonts w:hint="eastAsia"/>
          <w:color w:val="auto"/>
          <w:highlight w:val="none"/>
        </w:rPr>
        <w:br w:type="page"/>
      </w:r>
      <w:r>
        <w:rPr>
          <w:rFonts w:hint="eastAsia"/>
          <w:color w:val="auto"/>
          <w:highlight w:val="none"/>
        </w:rPr>
        <w:t>三．投标函</w:t>
      </w:r>
    </w:p>
    <w:p w14:paraId="692BA30C">
      <w:pPr>
        <w:pStyle w:val="56"/>
        <w:keepNext w:val="0"/>
        <w:keepLines w:val="0"/>
        <w:pageBreakBefore w:val="0"/>
        <w:widowControl w:val="0"/>
        <w:kinsoku/>
        <w:wordWrap/>
        <w:overflowPunct/>
        <w:topLinePunct w:val="0"/>
        <w:autoSpaceDE/>
        <w:autoSpaceDN/>
        <w:bidi w:val="0"/>
        <w:adjustRightInd/>
        <w:snapToGrid/>
        <w:spacing w:after="0" w:line="460" w:lineRule="exact"/>
        <w:ind w:left="0" w:leftChars="0"/>
        <w:textAlignment w:val="auto"/>
        <w:rPr>
          <w:rFonts w:hint="eastAsia" w:ascii="宋体" w:hAnsi="宋体" w:cs="宋体"/>
          <w:b w:val="0"/>
          <w:color w:val="auto"/>
          <w:sz w:val="24"/>
          <w:highlight w:val="none"/>
        </w:rPr>
      </w:pPr>
      <w:r>
        <w:rPr>
          <w:rFonts w:hint="eastAsia" w:ascii="宋体" w:hAnsi="宋体" w:cs="宋体"/>
          <w:b w:val="0"/>
          <w:color w:val="auto"/>
          <w:sz w:val="24"/>
          <w:highlight w:val="none"/>
        </w:rPr>
        <w:t>致：（采购人或采购代理机构）</w:t>
      </w:r>
    </w:p>
    <w:p w14:paraId="4A1AE1FE">
      <w:pPr>
        <w:keepNext w:val="0"/>
        <w:keepLines w:val="0"/>
        <w:pageBreakBefore w:val="0"/>
        <w:widowControl w:val="0"/>
        <w:kinsoku/>
        <w:wordWrap/>
        <w:overflowPunct/>
        <w:topLinePunct w:val="0"/>
        <w:autoSpaceDE/>
        <w:autoSpaceDN/>
        <w:bidi w:val="0"/>
        <w:adjustRightInd/>
        <w:snapToGrid/>
        <w:spacing w:after="0" w:line="460" w:lineRule="exact"/>
        <w:ind w:left="239" w:leftChars="114" w:firstLine="386" w:firstLineChars="161"/>
        <w:textAlignment w:val="auto"/>
        <w:rPr>
          <w:rFonts w:hint="eastAsia" w:ascii="宋体" w:hAnsi="宋体" w:cs="宋体"/>
          <w:b/>
          <w:bCs/>
          <w:color w:val="auto"/>
          <w:sz w:val="24"/>
          <w:highlight w:val="none"/>
          <w:u w:val="single"/>
        </w:rPr>
      </w:pPr>
      <w:r>
        <w:rPr>
          <w:rFonts w:hint="eastAsia" w:ascii="宋体" w:hAnsi="宋体" w:cs="宋体"/>
          <w:color w:val="auto"/>
          <w:sz w:val="24"/>
          <w:highlight w:val="none"/>
        </w:rPr>
        <w:t>根据贵方“（</w:t>
      </w:r>
      <w:r>
        <w:rPr>
          <w:rFonts w:hint="eastAsia" w:ascii="宋体" w:hAnsi="宋体" w:cs="宋体"/>
          <w:b/>
          <w:bCs/>
          <w:color w:val="auto"/>
          <w:sz w:val="24"/>
          <w:highlight w:val="none"/>
          <w:u w:val="single"/>
        </w:rPr>
        <w:t>项目名称、项目编号)</w:t>
      </w:r>
      <w:r>
        <w:rPr>
          <w:rFonts w:hint="eastAsia" w:ascii="宋体" w:hAnsi="宋体" w:cs="宋体"/>
          <w:color w:val="auto"/>
          <w:sz w:val="24"/>
          <w:highlight w:val="none"/>
        </w:rPr>
        <w:t>”项目招标邀请书或招标公告，正式授权下述签字人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（姓名）代表投标人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（投标人全称），提交规定形式的投标文件。</w:t>
      </w:r>
    </w:p>
    <w:p w14:paraId="045CB6ED">
      <w:pPr>
        <w:keepNext w:val="0"/>
        <w:keepLines w:val="0"/>
        <w:pageBreakBefore w:val="0"/>
        <w:widowControl w:val="0"/>
        <w:kinsoku/>
        <w:wordWrap/>
        <w:overflowPunct/>
        <w:topLinePunct w:val="0"/>
        <w:autoSpaceDE/>
        <w:autoSpaceDN/>
        <w:bidi w:val="0"/>
        <w:adjustRightInd/>
        <w:snapToGrid/>
        <w:spacing w:after="0" w:line="460" w:lineRule="exact"/>
        <w:ind w:firstLine="630"/>
        <w:textAlignment w:val="auto"/>
        <w:rPr>
          <w:rFonts w:hint="eastAsia" w:ascii="宋体" w:hAnsi="宋体" w:cs="宋体"/>
          <w:color w:val="auto"/>
          <w:sz w:val="24"/>
          <w:highlight w:val="none"/>
        </w:rPr>
      </w:pPr>
      <w:r>
        <w:rPr>
          <w:rFonts w:hint="eastAsia" w:ascii="宋体" w:hAnsi="宋体" w:cs="宋体"/>
          <w:color w:val="auto"/>
          <w:sz w:val="24"/>
          <w:highlight w:val="none"/>
        </w:rPr>
        <w:t>据此函，我方兹宣布同意如下：</w:t>
      </w:r>
    </w:p>
    <w:p w14:paraId="73E259EB">
      <w:pPr>
        <w:keepNext w:val="0"/>
        <w:keepLines w:val="0"/>
        <w:pageBreakBefore w:val="0"/>
        <w:widowControl w:val="0"/>
        <w:kinsoku/>
        <w:wordWrap/>
        <w:overflowPunct/>
        <w:topLinePunct w:val="0"/>
        <w:autoSpaceDE/>
        <w:autoSpaceDN/>
        <w:bidi w:val="0"/>
        <w:adjustRightInd/>
        <w:snapToGrid/>
        <w:spacing w:after="0" w:line="460" w:lineRule="exact"/>
        <w:ind w:firstLine="630"/>
        <w:textAlignment w:val="auto"/>
        <w:rPr>
          <w:rFonts w:hint="eastAsia" w:ascii="宋体" w:hAnsi="宋体" w:cs="宋体"/>
          <w:color w:val="auto"/>
          <w:sz w:val="24"/>
          <w:highlight w:val="none"/>
        </w:rPr>
      </w:pPr>
      <w:r>
        <w:rPr>
          <w:rFonts w:hint="eastAsia" w:ascii="宋体" w:hAnsi="宋体" w:cs="宋体"/>
          <w:color w:val="auto"/>
          <w:sz w:val="24"/>
          <w:highlight w:val="none"/>
        </w:rPr>
        <w:t>（1）如我公司中标，愿意按招标文件规定提供交付服务（包括税费等工作）的总报价为人民币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元，服务期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4DA07293">
      <w:pPr>
        <w:keepNext w:val="0"/>
        <w:keepLines w:val="0"/>
        <w:pageBreakBefore w:val="0"/>
        <w:widowControl w:val="0"/>
        <w:kinsoku/>
        <w:wordWrap/>
        <w:overflowPunct/>
        <w:topLinePunct w:val="0"/>
        <w:autoSpaceDE/>
        <w:autoSpaceDN/>
        <w:bidi w:val="0"/>
        <w:adjustRightInd/>
        <w:snapToGrid/>
        <w:spacing w:after="0" w:line="460" w:lineRule="exact"/>
        <w:ind w:firstLine="630"/>
        <w:textAlignment w:val="auto"/>
        <w:rPr>
          <w:rFonts w:hint="eastAsia" w:ascii="宋体" w:hAnsi="宋体" w:cs="宋体"/>
          <w:color w:val="auto"/>
          <w:sz w:val="24"/>
          <w:highlight w:val="none"/>
        </w:rPr>
      </w:pPr>
      <w:r>
        <w:rPr>
          <w:rFonts w:hint="eastAsia" w:ascii="宋体" w:hAnsi="宋体" w:cs="宋体"/>
          <w:color w:val="auto"/>
          <w:sz w:val="24"/>
          <w:highlight w:val="none"/>
        </w:rPr>
        <w:t>（2）我方根据招标文件的规定，严格履行合同的责任和义务,并保证于买方要求的日期内完成服务，并通过买方验收。</w:t>
      </w:r>
    </w:p>
    <w:p w14:paraId="1F5841F4">
      <w:pPr>
        <w:keepNext w:val="0"/>
        <w:keepLines w:val="0"/>
        <w:pageBreakBefore w:val="0"/>
        <w:widowControl w:val="0"/>
        <w:kinsoku/>
        <w:wordWrap/>
        <w:overflowPunct/>
        <w:topLinePunct w:val="0"/>
        <w:autoSpaceDE/>
        <w:autoSpaceDN/>
        <w:bidi w:val="0"/>
        <w:adjustRightInd/>
        <w:snapToGrid/>
        <w:spacing w:after="0" w:line="460" w:lineRule="exact"/>
        <w:ind w:firstLine="630"/>
        <w:textAlignment w:val="auto"/>
        <w:rPr>
          <w:rFonts w:hint="eastAsia" w:ascii="宋体" w:hAnsi="宋体" w:cs="宋体"/>
          <w:color w:val="auto"/>
          <w:sz w:val="24"/>
          <w:highlight w:val="none"/>
        </w:rPr>
      </w:pPr>
      <w:r>
        <w:rPr>
          <w:rFonts w:hint="eastAsia" w:ascii="宋体" w:hAnsi="宋体" w:cs="宋体"/>
          <w:color w:val="auto"/>
          <w:sz w:val="24"/>
          <w:highlight w:val="none"/>
        </w:rPr>
        <w:t>（3）我方承诺报价低于同类货物和服务的市场平均价格。</w:t>
      </w:r>
    </w:p>
    <w:p w14:paraId="17E6EB3C">
      <w:pPr>
        <w:keepNext w:val="0"/>
        <w:keepLines w:val="0"/>
        <w:pageBreakBefore w:val="0"/>
        <w:widowControl w:val="0"/>
        <w:kinsoku/>
        <w:wordWrap/>
        <w:overflowPunct/>
        <w:topLinePunct w:val="0"/>
        <w:autoSpaceDE/>
        <w:autoSpaceDN/>
        <w:bidi w:val="0"/>
        <w:adjustRightInd/>
        <w:snapToGrid/>
        <w:spacing w:after="0" w:line="460" w:lineRule="exact"/>
        <w:ind w:firstLine="630"/>
        <w:textAlignment w:val="auto"/>
        <w:rPr>
          <w:rFonts w:hint="eastAsia" w:ascii="宋体" w:hAnsi="宋体" w:cs="宋体"/>
          <w:color w:val="auto"/>
          <w:sz w:val="24"/>
          <w:highlight w:val="none"/>
        </w:rPr>
      </w:pPr>
      <w:r>
        <w:rPr>
          <w:rFonts w:hint="eastAsia" w:ascii="宋体" w:hAnsi="宋体" w:cs="宋体"/>
          <w:color w:val="auto"/>
          <w:sz w:val="24"/>
          <w:highlight w:val="none"/>
        </w:rPr>
        <w:t>（4）我方已详细审核全部招标文件，包括招标文件修改书（如有），参考资料及有关附件，我方正式认可本次招标文件，并对招标文件各项条款（包括开标时间）均无异议。</w:t>
      </w:r>
      <w:r>
        <w:rPr>
          <w:rFonts w:hint="eastAsia" w:ascii="宋体" w:hAnsi="宋体" w:cs="仿宋_GB2312"/>
          <w:color w:val="auto"/>
          <w:sz w:val="24"/>
          <w:highlight w:val="none"/>
        </w:rPr>
        <w:t>本函由投标单位加盖公章，并由投标单位法定代表人或负责人签字。</w:t>
      </w:r>
      <w:r>
        <w:rPr>
          <w:rFonts w:hint="eastAsia" w:ascii="宋体" w:hAnsi="宋体" w:cs="宋体"/>
          <w:color w:val="auto"/>
          <w:sz w:val="24"/>
          <w:highlight w:val="none"/>
        </w:rPr>
        <w:t>我方知道必须放弃提出含糊不清或误解的问题的权利。</w:t>
      </w:r>
    </w:p>
    <w:p w14:paraId="10DB1C1D">
      <w:pPr>
        <w:keepNext w:val="0"/>
        <w:keepLines w:val="0"/>
        <w:pageBreakBefore w:val="0"/>
        <w:widowControl w:val="0"/>
        <w:kinsoku/>
        <w:wordWrap/>
        <w:overflowPunct/>
        <w:topLinePunct w:val="0"/>
        <w:autoSpaceDE/>
        <w:autoSpaceDN/>
        <w:bidi w:val="0"/>
        <w:adjustRightInd/>
        <w:snapToGrid/>
        <w:spacing w:after="0" w:line="460" w:lineRule="exact"/>
        <w:ind w:firstLine="630"/>
        <w:textAlignment w:val="auto"/>
        <w:rPr>
          <w:rFonts w:hint="eastAsia" w:ascii="宋体" w:hAnsi="宋体" w:cs="宋体"/>
          <w:color w:val="auto"/>
          <w:sz w:val="24"/>
          <w:highlight w:val="none"/>
        </w:rPr>
      </w:pPr>
      <w:r>
        <w:rPr>
          <w:rFonts w:hint="eastAsia" w:ascii="宋体" w:hAnsi="宋体" w:cs="宋体"/>
          <w:color w:val="auto"/>
          <w:sz w:val="24"/>
          <w:highlight w:val="none"/>
        </w:rPr>
        <w:t>（5）我方同意从招标文件规定的开标日期起遵循本投标文件，并在招标文件规定的投标有效期之前均具有约束力。</w:t>
      </w:r>
    </w:p>
    <w:p w14:paraId="40D24AAB">
      <w:pPr>
        <w:keepNext w:val="0"/>
        <w:keepLines w:val="0"/>
        <w:pageBreakBefore w:val="0"/>
        <w:widowControl w:val="0"/>
        <w:kinsoku/>
        <w:wordWrap/>
        <w:overflowPunct/>
        <w:topLinePunct w:val="0"/>
        <w:autoSpaceDE/>
        <w:autoSpaceDN/>
        <w:bidi w:val="0"/>
        <w:adjustRightInd/>
        <w:snapToGrid/>
        <w:spacing w:after="0" w:line="460" w:lineRule="exact"/>
        <w:ind w:firstLine="630"/>
        <w:textAlignment w:val="auto"/>
        <w:rPr>
          <w:rFonts w:hint="eastAsia" w:ascii="宋体" w:hAnsi="宋体" w:cs="宋体"/>
          <w:color w:val="auto"/>
          <w:sz w:val="24"/>
          <w:highlight w:val="none"/>
        </w:rPr>
      </w:pPr>
      <w:r>
        <w:rPr>
          <w:rFonts w:hint="eastAsia" w:ascii="宋体" w:hAnsi="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5E875C8F">
      <w:pPr>
        <w:keepNext w:val="0"/>
        <w:keepLines w:val="0"/>
        <w:pageBreakBefore w:val="0"/>
        <w:widowControl w:val="0"/>
        <w:kinsoku/>
        <w:wordWrap/>
        <w:overflowPunct/>
        <w:topLinePunct w:val="0"/>
        <w:autoSpaceDE/>
        <w:autoSpaceDN/>
        <w:bidi w:val="0"/>
        <w:adjustRightInd/>
        <w:snapToGrid/>
        <w:spacing w:after="0" w:line="460" w:lineRule="exact"/>
        <w:ind w:firstLine="630"/>
        <w:textAlignment w:val="auto"/>
        <w:rPr>
          <w:rFonts w:hint="eastAsia" w:ascii="宋体" w:hAnsi="宋体" w:cs="宋体"/>
          <w:color w:val="auto"/>
          <w:sz w:val="24"/>
          <w:highlight w:val="none"/>
        </w:rPr>
      </w:pPr>
      <w:r>
        <w:rPr>
          <w:rFonts w:hint="eastAsia" w:ascii="宋体" w:hAnsi="宋体" w:cs="宋体"/>
          <w:color w:val="auto"/>
          <w:sz w:val="24"/>
          <w:highlight w:val="none"/>
        </w:rPr>
        <w:t>（7）我方完全理解贵方不一定接受最低报价的投标。</w:t>
      </w:r>
    </w:p>
    <w:p w14:paraId="09F6BD02">
      <w:pPr>
        <w:keepNext w:val="0"/>
        <w:keepLines w:val="0"/>
        <w:pageBreakBefore w:val="0"/>
        <w:widowControl w:val="0"/>
        <w:kinsoku/>
        <w:wordWrap/>
        <w:overflowPunct/>
        <w:topLinePunct w:val="0"/>
        <w:autoSpaceDE/>
        <w:autoSpaceDN/>
        <w:bidi w:val="0"/>
        <w:adjustRightInd/>
        <w:snapToGrid/>
        <w:spacing w:after="0" w:line="460" w:lineRule="exact"/>
        <w:ind w:firstLine="630"/>
        <w:textAlignment w:val="auto"/>
        <w:rPr>
          <w:rFonts w:hint="eastAsia" w:ascii="宋体" w:hAnsi="宋体" w:cs="宋体"/>
          <w:color w:val="auto"/>
          <w:sz w:val="24"/>
          <w:highlight w:val="none"/>
        </w:rPr>
      </w:pPr>
      <w:r>
        <w:rPr>
          <w:rFonts w:hint="eastAsia" w:ascii="宋体" w:hAnsi="宋体" w:cs="宋体"/>
          <w:color w:val="auto"/>
          <w:sz w:val="24"/>
          <w:highlight w:val="none"/>
        </w:rPr>
        <w:t>（8）我方同意招标文件规定的付款方式。</w:t>
      </w:r>
    </w:p>
    <w:p w14:paraId="59BDAE25">
      <w:pPr>
        <w:keepNext w:val="0"/>
        <w:keepLines w:val="0"/>
        <w:pageBreakBefore w:val="0"/>
        <w:widowControl w:val="0"/>
        <w:kinsoku/>
        <w:wordWrap/>
        <w:overflowPunct/>
        <w:topLinePunct w:val="0"/>
        <w:autoSpaceDE/>
        <w:autoSpaceDN/>
        <w:bidi w:val="0"/>
        <w:adjustRightInd/>
        <w:snapToGrid/>
        <w:spacing w:after="0" w:line="460" w:lineRule="exact"/>
        <w:ind w:firstLine="630"/>
        <w:textAlignment w:val="auto"/>
        <w:rPr>
          <w:rFonts w:hint="eastAsia" w:ascii="宋体" w:hAnsi="宋体" w:cs="宋体"/>
          <w:color w:val="auto"/>
          <w:sz w:val="24"/>
          <w:highlight w:val="none"/>
          <w:u w:val="single"/>
        </w:rPr>
      </w:pPr>
      <w:r>
        <w:rPr>
          <w:rFonts w:hint="eastAsia" w:ascii="宋体" w:hAnsi="宋体" w:cs="宋体"/>
          <w:color w:val="auto"/>
          <w:sz w:val="24"/>
          <w:highlight w:val="none"/>
        </w:rPr>
        <w:t>（9）与本投标有关的通讯地址：</w:t>
      </w:r>
      <w:r>
        <w:rPr>
          <w:rFonts w:hint="eastAsia" w:ascii="宋体" w:hAnsi="宋体" w:cs="宋体"/>
          <w:color w:val="auto"/>
          <w:sz w:val="24"/>
          <w:highlight w:val="none"/>
          <w:u w:val="single"/>
        </w:rPr>
        <w:t xml:space="preserve">                                  </w:t>
      </w:r>
    </w:p>
    <w:p w14:paraId="5CCEB907">
      <w:pPr>
        <w:pStyle w:val="2"/>
        <w:keepNext w:val="0"/>
        <w:keepLines w:val="0"/>
        <w:pageBreakBefore w:val="0"/>
        <w:widowControl w:val="0"/>
        <w:kinsoku/>
        <w:wordWrap/>
        <w:overflowPunct/>
        <w:topLinePunct w:val="0"/>
        <w:autoSpaceDE/>
        <w:autoSpaceDN/>
        <w:bidi w:val="0"/>
        <w:adjustRightInd/>
        <w:snapToGrid/>
        <w:spacing w:after="0" w:line="460" w:lineRule="exact"/>
        <w:ind w:firstLine="720" w:firstLineChars="300"/>
        <w:textAlignment w:val="auto"/>
        <w:rPr>
          <w:rFonts w:hint="eastAsia" w:ascii="宋体" w:hAnsi="宋体" w:cs="宋体"/>
          <w:color w:val="auto"/>
          <w:sz w:val="24"/>
          <w:highlight w:val="none"/>
        </w:rPr>
      </w:pPr>
      <w:r>
        <w:rPr>
          <w:rFonts w:hint="eastAsia" w:ascii="宋体" w:hAnsi="宋体" w:cs="宋体"/>
          <w:color w:val="auto"/>
          <w:sz w:val="24"/>
          <w:highlight w:val="none"/>
        </w:rPr>
        <w:t>（10）本项目项目责任人：        电话：</w:t>
      </w:r>
    </w:p>
    <w:p w14:paraId="019D177D">
      <w:pPr>
        <w:keepNext w:val="0"/>
        <w:keepLines w:val="0"/>
        <w:pageBreakBefore w:val="0"/>
        <w:widowControl w:val="0"/>
        <w:kinsoku/>
        <w:wordWrap/>
        <w:overflowPunct/>
        <w:topLinePunct w:val="0"/>
        <w:autoSpaceDE/>
        <w:autoSpaceDN/>
        <w:bidi w:val="0"/>
        <w:adjustRightInd/>
        <w:snapToGrid/>
        <w:spacing w:after="0" w:line="460" w:lineRule="exact"/>
        <w:ind w:firstLine="3600" w:firstLineChars="1500"/>
        <w:textAlignment w:val="auto"/>
        <w:rPr>
          <w:rFonts w:hint="eastAsia" w:ascii="宋体" w:hAnsi="宋体" w:cs="宋体"/>
          <w:color w:val="auto"/>
          <w:sz w:val="24"/>
          <w:highlight w:val="none"/>
        </w:rPr>
      </w:pPr>
    </w:p>
    <w:p w14:paraId="029AD701">
      <w:pPr>
        <w:keepNext w:val="0"/>
        <w:keepLines w:val="0"/>
        <w:pageBreakBefore w:val="0"/>
        <w:widowControl w:val="0"/>
        <w:kinsoku/>
        <w:wordWrap/>
        <w:overflowPunct/>
        <w:topLinePunct w:val="0"/>
        <w:autoSpaceDE/>
        <w:autoSpaceDN/>
        <w:bidi w:val="0"/>
        <w:adjustRightInd/>
        <w:snapToGrid/>
        <w:spacing w:after="0" w:line="460" w:lineRule="exact"/>
        <w:ind w:firstLine="3600" w:firstLineChars="1500"/>
        <w:textAlignment w:val="auto"/>
        <w:rPr>
          <w:rFonts w:hint="eastAsia" w:ascii="宋体" w:hAnsi="宋体" w:cs="宋体"/>
          <w:color w:val="auto"/>
          <w:sz w:val="24"/>
          <w:highlight w:val="none"/>
        </w:rPr>
      </w:pPr>
      <w:r>
        <w:rPr>
          <w:rFonts w:hint="eastAsia" w:ascii="宋体" w:hAnsi="宋体" w:cs="宋体"/>
          <w:color w:val="auto"/>
          <w:sz w:val="24"/>
          <w:highlight w:val="none"/>
          <w:lang w:eastAsia="zh-CN"/>
        </w:rPr>
        <w:t>投标人</w:t>
      </w:r>
      <w:r>
        <w:rPr>
          <w:rFonts w:hint="eastAsia" w:ascii="宋体" w:hAnsi="宋体" w:cs="宋体"/>
          <w:color w:val="auto"/>
          <w:sz w:val="24"/>
          <w:highlight w:val="none"/>
        </w:rPr>
        <w:t>名称：（电子公章）</w:t>
      </w:r>
    </w:p>
    <w:p w14:paraId="0936E482">
      <w:pPr>
        <w:keepNext w:val="0"/>
        <w:keepLines w:val="0"/>
        <w:pageBreakBefore w:val="0"/>
        <w:widowControl w:val="0"/>
        <w:kinsoku/>
        <w:wordWrap/>
        <w:overflowPunct/>
        <w:topLinePunct w:val="0"/>
        <w:autoSpaceDE/>
        <w:autoSpaceDN/>
        <w:bidi w:val="0"/>
        <w:adjustRightInd/>
        <w:snapToGrid/>
        <w:spacing w:after="0" w:line="460" w:lineRule="exact"/>
        <w:ind w:right="640" w:firstLine="3600" w:firstLineChars="1500"/>
        <w:textAlignment w:val="auto"/>
        <w:rPr>
          <w:rFonts w:hint="eastAsia" w:ascii="宋体" w:hAnsi="宋体" w:cs="宋体"/>
          <w:color w:val="auto"/>
          <w:sz w:val="24"/>
          <w:highlight w:val="none"/>
        </w:rPr>
      </w:pPr>
      <w:r>
        <w:rPr>
          <w:rFonts w:hint="eastAsia" w:ascii="宋体" w:hAnsi="宋体" w:cs="宋体"/>
          <w:color w:val="auto"/>
          <w:sz w:val="24"/>
          <w:highlight w:val="none"/>
        </w:rPr>
        <w:t>法定代表人或负责人：（签字）</w:t>
      </w:r>
    </w:p>
    <w:p w14:paraId="19E91579">
      <w:pPr>
        <w:keepNext w:val="0"/>
        <w:keepLines w:val="0"/>
        <w:pageBreakBefore w:val="0"/>
        <w:widowControl w:val="0"/>
        <w:kinsoku/>
        <w:wordWrap/>
        <w:overflowPunct/>
        <w:topLinePunct w:val="0"/>
        <w:autoSpaceDE/>
        <w:autoSpaceDN/>
        <w:bidi w:val="0"/>
        <w:adjustRightInd/>
        <w:snapToGrid/>
        <w:spacing w:after="0" w:line="460" w:lineRule="exact"/>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1DE97DAD">
      <w:pPr>
        <w:pStyle w:val="5"/>
        <w:jc w:val="center"/>
        <w:rPr>
          <w:color w:val="auto"/>
          <w:highlight w:val="none"/>
        </w:rPr>
      </w:pPr>
      <w:r>
        <w:rPr>
          <w:rFonts w:hint="eastAsia"/>
          <w:color w:val="auto"/>
          <w:highlight w:val="none"/>
        </w:rPr>
        <w:t>四．投标分项报价表</w:t>
      </w:r>
    </w:p>
    <w:tbl>
      <w:tblPr>
        <w:tblStyle w:val="35"/>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30112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187117E">
            <w:pPr>
              <w:pStyle w:val="209"/>
              <w:widowControl w:val="0"/>
              <w:spacing w:before="0" w:beforeAutospacing="0" w:after="0" w:afterAutospacing="0"/>
              <w:rPr>
                <w:rFonts w:hint="eastAsia" w:cs="宋体"/>
                <w:bCs w:val="0"/>
                <w:color w:val="auto"/>
                <w:kern w:val="2"/>
                <w:sz w:val="24"/>
                <w:szCs w:val="20"/>
                <w:highlight w:val="none"/>
              </w:rPr>
            </w:pPr>
            <w:r>
              <w:rPr>
                <w:rFonts w:hint="eastAsia" w:cs="宋体"/>
                <w:bCs w:val="0"/>
                <w:color w:val="auto"/>
                <w:kern w:val="2"/>
                <w:sz w:val="24"/>
                <w:szCs w:val="20"/>
                <w:highlight w:val="none"/>
              </w:rPr>
              <w:t>序号</w:t>
            </w:r>
          </w:p>
        </w:tc>
        <w:tc>
          <w:tcPr>
            <w:tcW w:w="2205" w:type="dxa"/>
            <w:vAlign w:val="center"/>
          </w:tcPr>
          <w:p w14:paraId="55B6D8BA">
            <w:pPr>
              <w:jc w:val="center"/>
              <w:rPr>
                <w:rFonts w:hint="eastAsia" w:ascii="宋体" w:hAnsi="宋体" w:cs="宋体"/>
                <w:b/>
                <w:color w:val="auto"/>
                <w:sz w:val="24"/>
                <w:highlight w:val="none"/>
              </w:rPr>
            </w:pPr>
            <w:r>
              <w:rPr>
                <w:rFonts w:hint="eastAsia" w:ascii="宋体" w:hAnsi="宋体" w:cs="宋体"/>
                <w:b/>
                <w:color w:val="auto"/>
                <w:sz w:val="24"/>
                <w:highlight w:val="none"/>
              </w:rPr>
              <w:t>名称</w:t>
            </w:r>
          </w:p>
        </w:tc>
        <w:tc>
          <w:tcPr>
            <w:tcW w:w="957" w:type="dxa"/>
            <w:vAlign w:val="center"/>
          </w:tcPr>
          <w:p w14:paraId="62A53C1F">
            <w:pPr>
              <w:jc w:val="center"/>
              <w:rPr>
                <w:rFonts w:hint="eastAsia" w:ascii="宋体" w:hAnsi="宋体" w:cs="宋体"/>
                <w:b/>
                <w:color w:val="auto"/>
                <w:sz w:val="24"/>
                <w:highlight w:val="none"/>
              </w:rPr>
            </w:pPr>
            <w:r>
              <w:rPr>
                <w:rFonts w:hint="eastAsia" w:ascii="宋体" w:hAnsi="宋体" w:cs="宋体"/>
                <w:b/>
                <w:color w:val="auto"/>
                <w:sz w:val="24"/>
                <w:highlight w:val="none"/>
              </w:rPr>
              <w:t>单位</w:t>
            </w:r>
          </w:p>
        </w:tc>
        <w:tc>
          <w:tcPr>
            <w:tcW w:w="840" w:type="dxa"/>
            <w:vAlign w:val="center"/>
          </w:tcPr>
          <w:p w14:paraId="78006852">
            <w:pPr>
              <w:jc w:val="center"/>
              <w:rPr>
                <w:rFonts w:hint="eastAsia" w:ascii="宋体" w:hAnsi="宋体" w:cs="宋体"/>
                <w:b/>
                <w:color w:val="auto"/>
                <w:sz w:val="24"/>
                <w:highlight w:val="none"/>
              </w:rPr>
            </w:pPr>
            <w:r>
              <w:rPr>
                <w:rFonts w:hint="eastAsia" w:ascii="宋体" w:hAnsi="宋体" w:cs="宋体"/>
                <w:b/>
                <w:color w:val="auto"/>
                <w:sz w:val="24"/>
                <w:highlight w:val="none"/>
              </w:rPr>
              <w:t>数量</w:t>
            </w:r>
          </w:p>
        </w:tc>
        <w:tc>
          <w:tcPr>
            <w:tcW w:w="1260" w:type="dxa"/>
            <w:vAlign w:val="center"/>
          </w:tcPr>
          <w:p w14:paraId="42AF03AE">
            <w:pPr>
              <w:jc w:val="center"/>
              <w:rPr>
                <w:rFonts w:hint="eastAsia" w:ascii="宋体" w:hAnsi="宋体" w:cs="宋体"/>
                <w:b/>
                <w:color w:val="auto"/>
                <w:sz w:val="24"/>
                <w:highlight w:val="none"/>
              </w:rPr>
            </w:pPr>
            <w:r>
              <w:rPr>
                <w:rFonts w:hint="eastAsia" w:ascii="宋体" w:hAnsi="宋体" w:cs="宋体"/>
                <w:b/>
                <w:color w:val="auto"/>
                <w:sz w:val="24"/>
                <w:highlight w:val="none"/>
              </w:rPr>
              <w:t>单价</w:t>
            </w:r>
          </w:p>
        </w:tc>
        <w:tc>
          <w:tcPr>
            <w:tcW w:w="1340" w:type="dxa"/>
            <w:vAlign w:val="center"/>
          </w:tcPr>
          <w:p w14:paraId="4F2D07A5">
            <w:pPr>
              <w:jc w:val="center"/>
              <w:rPr>
                <w:rFonts w:hint="eastAsia" w:ascii="宋体" w:hAnsi="宋体" w:cs="宋体"/>
                <w:b/>
                <w:color w:val="auto"/>
                <w:sz w:val="24"/>
                <w:highlight w:val="none"/>
              </w:rPr>
            </w:pPr>
            <w:r>
              <w:rPr>
                <w:rFonts w:hint="eastAsia" w:ascii="宋体" w:hAnsi="宋体" w:cs="宋体"/>
                <w:b/>
                <w:color w:val="auto"/>
                <w:sz w:val="24"/>
                <w:highlight w:val="none"/>
              </w:rPr>
              <w:t>小计</w:t>
            </w:r>
          </w:p>
        </w:tc>
        <w:tc>
          <w:tcPr>
            <w:tcW w:w="922" w:type="dxa"/>
            <w:vAlign w:val="center"/>
          </w:tcPr>
          <w:p w14:paraId="0D8B3231">
            <w:pPr>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r>
      <w:tr w14:paraId="1D4DD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E3E8197">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tcPr>
          <w:p w14:paraId="5EFE3A05">
            <w:pPr>
              <w:rPr>
                <w:rFonts w:hint="eastAsia" w:ascii="宋体" w:hAnsi="宋体" w:cs="宋体"/>
                <w:color w:val="auto"/>
                <w:sz w:val="24"/>
                <w:highlight w:val="none"/>
              </w:rPr>
            </w:pPr>
          </w:p>
        </w:tc>
        <w:tc>
          <w:tcPr>
            <w:tcW w:w="957" w:type="dxa"/>
          </w:tcPr>
          <w:p w14:paraId="5A04CC8C">
            <w:pPr>
              <w:rPr>
                <w:rFonts w:hint="eastAsia" w:ascii="宋体" w:hAnsi="宋体" w:cs="宋体"/>
                <w:color w:val="auto"/>
                <w:sz w:val="24"/>
                <w:highlight w:val="none"/>
              </w:rPr>
            </w:pPr>
          </w:p>
        </w:tc>
        <w:tc>
          <w:tcPr>
            <w:tcW w:w="840" w:type="dxa"/>
          </w:tcPr>
          <w:p w14:paraId="052804EF">
            <w:pPr>
              <w:rPr>
                <w:rFonts w:hint="eastAsia" w:ascii="宋体" w:hAnsi="宋体" w:cs="宋体"/>
                <w:color w:val="auto"/>
                <w:sz w:val="24"/>
                <w:highlight w:val="none"/>
              </w:rPr>
            </w:pPr>
          </w:p>
        </w:tc>
        <w:tc>
          <w:tcPr>
            <w:tcW w:w="1260" w:type="dxa"/>
          </w:tcPr>
          <w:p w14:paraId="6B51F1C7">
            <w:pPr>
              <w:rPr>
                <w:rFonts w:hint="eastAsia" w:ascii="宋体" w:hAnsi="宋体" w:cs="宋体"/>
                <w:color w:val="auto"/>
                <w:sz w:val="24"/>
                <w:highlight w:val="none"/>
              </w:rPr>
            </w:pPr>
          </w:p>
        </w:tc>
        <w:tc>
          <w:tcPr>
            <w:tcW w:w="1340" w:type="dxa"/>
          </w:tcPr>
          <w:p w14:paraId="41B55EE5">
            <w:pPr>
              <w:rPr>
                <w:rFonts w:hint="eastAsia" w:ascii="宋体" w:hAnsi="宋体" w:cs="宋体"/>
                <w:color w:val="auto"/>
                <w:sz w:val="24"/>
                <w:highlight w:val="none"/>
              </w:rPr>
            </w:pPr>
          </w:p>
        </w:tc>
        <w:tc>
          <w:tcPr>
            <w:tcW w:w="922" w:type="dxa"/>
          </w:tcPr>
          <w:p w14:paraId="66065DEB">
            <w:pPr>
              <w:rPr>
                <w:rFonts w:hint="eastAsia" w:ascii="宋体" w:hAnsi="宋体" w:cs="宋体"/>
                <w:color w:val="auto"/>
                <w:sz w:val="24"/>
                <w:highlight w:val="none"/>
              </w:rPr>
            </w:pPr>
          </w:p>
        </w:tc>
      </w:tr>
      <w:tr w14:paraId="6056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EE43959">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tcPr>
          <w:p w14:paraId="2478F3A2">
            <w:pPr>
              <w:rPr>
                <w:rFonts w:hint="eastAsia" w:ascii="宋体" w:hAnsi="宋体" w:cs="宋体"/>
                <w:color w:val="auto"/>
                <w:sz w:val="24"/>
                <w:highlight w:val="none"/>
              </w:rPr>
            </w:pPr>
          </w:p>
        </w:tc>
        <w:tc>
          <w:tcPr>
            <w:tcW w:w="957" w:type="dxa"/>
          </w:tcPr>
          <w:p w14:paraId="4F2761B2">
            <w:pPr>
              <w:rPr>
                <w:rFonts w:hint="eastAsia" w:ascii="宋体" w:hAnsi="宋体" w:cs="宋体"/>
                <w:color w:val="auto"/>
                <w:sz w:val="24"/>
                <w:highlight w:val="none"/>
              </w:rPr>
            </w:pPr>
          </w:p>
        </w:tc>
        <w:tc>
          <w:tcPr>
            <w:tcW w:w="840" w:type="dxa"/>
          </w:tcPr>
          <w:p w14:paraId="34DBCD52">
            <w:pPr>
              <w:rPr>
                <w:rFonts w:hint="eastAsia" w:ascii="宋体" w:hAnsi="宋体" w:cs="宋体"/>
                <w:color w:val="auto"/>
                <w:sz w:val="24"/>
                <w:highlight w:val="none"/>
              </w:rPr>
            </w:pPr>
          </w:p>
        </w:tc>
        <w:tc>
          <w:tcPr>
            <w:tcW w:w="1260" w:type="dxa"/>
          </w:tcPr>
          <w:p w14:paraId="6F608C97">
            <w:pPr>
              <w:rPr>
                <w:rFonts w:hint="eastAsia" w:ascii="宋体" w:hAnsi="宋体" w:cs="宋体"/>
                <w:color w:val="auto"/>
                <w:sz w:val="24"/>
                <w:highlight w:val="none"/>
              </w:rPr>
            </w:pPr>
          </w:p>
        </w:tc>
        <w:tc>
          <w:tcPr>
            <w:tcW w:w="1340" w:type="dxa"/>
          </w:tcPr>
          <w:p w14:paraId="65FE79D5">
            <w:pPr>
              <w:rPr>
                <w:rFonts w:hint="eastAsia" w:ascii="宋体" w:hAnsi="宋体" w:cs="宋体"/>
                <w:color w:val="auto"/>
                <w:sz w:val="24"/>
                <w:highlight w:val="none"/>
              </w:rPr>
            </w:pPr>
          </w:p>
        </w:tc>
        <w:tc>
          <w:tcPr>
            <w:tcW w:w="922" w:type="dxa"/>
          </w:tcPr>
          <w:p w14:paraId="6E94DFAE">
            <w:pPr>
              <w:rPr>
                <w:rFonts w:hint="eastAsia" w:ascii="宋体" w:hAnsi="宋体" w:cs="宋体"/>
                <w:color w:val="auto"/>
                <w:sz w:val="24"/>
                <w:highlight w:val="none"/>
              </w:rPr>
            </w:pPr>
          </w:p>
        </w:tc>
      </w:tr>
      <w:tr w14:paraId="3D213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64EC53">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tcPr>
          <w:p w14:paraId="3DCB03D2">
            <w:pPr>
              <w:rPr>
                <w:rFonts w:hint="eastAsia" w:ascii="宋体" w:hAnsi="宋体" w:cs="宋体"/>
                <w:color w:val="auto"/>
                <w:sz w:val="24"/>
                <w:highlight w:val="none"/>
              </w:rPr>
            </w:pPr>
          </w:p>
        </w:tc>
        <w:tc>
          <w:tcPr>
            <w:tcW w:w="957" w:type="dxa"/>
          </w:tcPr>
          <w:p w14:paraId="305E56B2">
            <w:pPr>
              <w:rPr>
                <w:rFonts w:hint="eastAsia" w:ascii="宋体" w:hAnsi="宋体" w:cs="宋体"/>
                <w:color w:val="auto"/>
                <w:sz w:val="24"/>
                <w:highlight w:val="none"/>
              </w:rPr>
            </w:pPr>
          </w:p>
        </w:tc>
        <w:tc>
          <w:tcPr>
            <w:tcW w:w="840" w:type="dxa"/>
          </w:tcPr>
          <w:p w14:paraId="2E30C87A">
            <w:pPr>
              <w:rPr>
                <w:rFonts w:hint="eastAsia" w:ascii="宋体" w:hAnsi="宋体" w:cs="宋体"/>
                <w:color w:val="auto"/>
                <w:sz w:val="24"/>
                <w:highlight w:val="none"/>
              </w:rPr>
            </w:pPr>
          </w:p>
        </w:tc>
        <w:tc>
          <w:tcPr>
            <w:tcW w:w="1260" w:type="dxa"/>
          </w:tcPr>
          <w:p w14:paraId="2087B3AF">
            <w:pPr>
              <w:rPr>
                <w:rFonts w:hint="eastAsia" w:ascii="宋体" w:hAnsi="宋体" w:cs="宋体"/>
                <w:color w:val="auto"/>
                <w:sz w:val="24"/>
                <w:highlight w:val="none"/>
              </w:rPr>
            </w:pPr>
          </w:p>
        </w:tc>
        <w:tc>
          <w:tcPr>
            <w:tcW w:w="1340" w:type="dxa"/>
          </w:tcPr>
          <w:p w14:paraId="1104FF5E">
            <w:pPr>
              <w:rPr>
                <w:rFonts w:hint="eastAsia" w:ascii="宋体" w:hAnsi="宋体" w:cs="宋体"/>
                <w:color w:val="auto"/>
                <w:sz w:val="24"/>
                <w:highlight w:val="none"/>
              </w:rPr>
            </w:pPr>
          </w:p>
        </w:tc>
        <w:tc>
          <w:tcPr>
            <w:tcW w:w="922" w:type="dxa"/>
          </w:tcPr>
          <w:p w14:paraId="07C574DF">
            <w:pPr>
              <w:rPr>
                <w:rFonts w:hint="eastAsia" w:ascii="宋体" w:hAnsi="宋体" w:cs="宋体"/>
                <w:color w:val="auto"/>
                <w:sz w:val="24"/>
                <w:highlight w:val="none"/>
              </w:rPr>
            </w:pPr>
          </w:p>
        </w:tc>
      </w:tr>
      <w:tr w14:paraId="5D55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AA7679">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tcPr>
          <w:p w14:paraId="2C8FD108">
            <w:pPr>
              <w:rPr>
                <w:rFonts w:hint="eastAsia" w:ascii="宋体" w:hAnsi="宋体" w:cs="宋体"/>
                <w:color w:val="auto"/>
                <w:sz w:val="24"/>
                <w:highlight w:val="none"/>
              </w:rPr>
            </w:pPr>
          </w:p>
        </w:tc>
        <w:tc>
          <w:tcPr>
            <w:tcW w:w="957" w:type="dxa"/>
          </w:tcPr>
          <w:p w14:paraId="2452E7EA">
            <w:pPr>
              <w:rPr>
                <w:rFonts w:hint="eastAsia" w:ascii="宋体" w:hAnsi="宋体" w:cs="宋体"/>
                <w:color w:val="auto"/>
                <w:sz w:val="24"/>
                <w:highlight w:val="none"/>
              </w:rPr>
            </w:pPr>
          </w:p>
        </w:tc>
        <w:tc>
          <w:tcPr>
            <w:tcW w:w="840" w:type="dxa"/>
          </w:tcPr>
          <w:p w14:paraId="1B97C4D7">
            <w:pPr>
              <w:rPr>
                <w:rFonts w:hint="eastAsia" w:ascii="宋体" w:hAnsi="宋体" w:cs="宋体"/>
                <w:color w:val="auto"/>
                <w:sz w:val="24"/>
                <w:highlight w:val="none"/>
              </w:rPr>
            </w:pPr>
          </w:p>
        </w:tc>
        <w:tc>
          <w:tcPr>
            <w:tcW w:w="1260" w:type="dxa"/>
          </w:tcPr>
          <w:p w14:paraId="286734DD">
            <w:pPr>
              <w:rPr>
                <w:rFonts w:hint="eastAsia" w:ascii="宋体" w:hAnsi="宋体" w:cs="宋体"/>
                <w:color w:val="auto"/>
                <w:sz w:val="24"/>
                <w:highlight w:val="none"/>
              </w:rPr>
            </w:pPr>
          </w:p>
        </w:tc>
        <w:tc>
          <w:tcPr>
            <w:tcW w:w="1340" w:type="dxa"/>
          </w:tcPr>
          <w:p w14:paraId="1A63C413">
            <w:pPr>
              <w:rPr>
                <w:rFonts w:hint="eastAsia" w:ascii="宋体" w:hAnsi="宋体" w:cs="宋体"/>
                <w:color w:val="auto"/>
                <w:sz w:val="24"/>
                <w:highlight w:val="none"/>
              </w:rPr>
            </w:pPr>
          </w:p>
        </w:tc>
        <w:tc>
          <w:tcPr>
            <w:tcW w:w="922" w:type="dxa"/>
          </w:tcPr>
          <w:p w14:paraId="0065D2D1">
            <w:pPr>
              <w:rPr>
                <w:rFonts w:hint="eastAsia" w:ascii="宋体" w:hAnsi="宋体" w:cs="宋体"/>
                <w:color w:val="auto"/>
                <w:sz w:val="24"/>
                <w:highlight w:val="none"/>
              </w:rPr>
            </w:pPr>
          </w:p>
        </w:tc>
      </w:tr>
      <w:tr w14:paraId="34B87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C8F724">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tcPr>
          <w:p w14:paraId="1DBDE5C4">
            <w:pPr>
              <w:rPr>
                <w:rFonts w:hint="eastAsia" w:ascii="宋体" w:hAnsi="宋体" w:cs="宋体"/>
                <w:color w:val="auto"/>
                <w:sz w:val="24"/>
                <w:highlight w:val="none"/>
              </w:rPr>
            </w:pPr>
          </w:p>
        </w:tc>
        <w:tc>
          <w:tcPr>
            <w:tcW w:w="957" w:type="dxa"/>
          </w:tcPr>
          <w:p w14:paraId="192440D6">
            <w:pPr>
              <w:rPr>
                <w:rFonts w:hint="eastAsia" w:ascii="宋体" w:hAnsi="宋体" w:cs="宋体"/>
                <w:color w:val="auto"/>
                <w:sz w:val="24"/>
                <w:highlight w:val="none"/>
              </w:rPr>
            </w:pPr>
          </w:p>
        </w:tc>
        <w:tc>
          <w:tcPr>
            <w:tcW w:w="840" w:type="dxa"/>
          </w:tcPr>
          <w:p w14:paraId="1ED800CD">
            <w:pPr>
              <w:rPr>
                <w:rFonts w:hint="eastAsia" w:ascii="宋体" w:hAnsi="宋体" w:cs="宋体"/>
                <w:color w:val="auto"/>
                <w:sz w:val="24"/>
                <w:highlight w:val="none"/>
              </w:rPr>
            </w:pPr>
          </w:p>
        </w:tc>
        <w:tc>
          <w:tcPr>
            <w:tcW w:w="1260" w:type="dxa"/>
          </w:tcPr>
          <w:p w14:paraId="5FA36EA5">
            <w:pPr>
              <w:rPr>
                <w:rFonts w:hint="eastAsia" w:ascii="宋体" w:hAnsi="宋体" w:cs="宋体"/>
                <w:color w:val="auto"/>
                <w:sz w:val="24"/>
                <w:highlight w:val="none"/>
              </w:rPr>
            </w:pPr>
          </w:p>
        </w:tc>
        <w:tc>
          <w:tcPr>
            <w:tcW w:w="1340" w:type="dxa"/>
          </w:tcPr>
          <w:p w14:paraId="1BD8964C">
            <w:pPr>
              <w:rPr>
                <w:rFonts w:hint="eastAsia" w:ascii="宋体" w:hAnsi="宋体" w:cs="宋体"/>
                <w:color w:val="auto"/>
                <w:sz w:val="24"/>
                <w:highlight w:val="none"/>
              </w:rPr>
            </w:pPr>
          </w:p>
        </w:tc>
        <w:tc>
          <w:tcPr>
            <w:tcW w:w="922" w:type="dxa"/>
          </w:tcPr>
          <w:p w14:paraId="5F0A99BB">
            <w:pPr>
              <w:rPr>
                <w:rFonts w:hint="eastAsia" w:ascii="宋体" w:hAnsi="宋体" w:cs="宋体"/>
                <w:color w:val="auto"/>
                <w:sz w:val="24"/>
                <w:highlight w:val="none"/>
              </w:rPr>
            </w:pPr>
          </w:p>
        </w:tc>
      </w:tr>
      <w:tr w14:paraId="2C7BB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3AC7E5F">
            <w:pPr>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tcPr>
          <w:p w14:paraId="2B78C19A">
            <w:pPr>
              <w:rPr>
                <w:rFonts w:hint="eastAsia" w:ascii="宋体" w:hAnsi="宋体" w:cs="宋体"/>
                <w:color w:val="auto"/>
                <w:sz w:val="24"/>
                <w:highlight w:val="none"/>
              </w:rPr>
            </w:pPr>
          </w:p>
        </w:tc>
        <w:tc>
          <w:tcPr>
            <w:tcW w:w="957" w:type="dxa"/>
          </w:tcPr>
          <w:p w14:paraId="52A80889">
            <w:pPr>
              <w:rPr>
                <w:rFonts w:hint="eastAsia" w:ascii="宋体" w:hAnsi="宋体" w:cs="宋体"/>
                <w:color w:val="auto"/>
                <w:sz w:val="24"/>
                <w:highlight w:val="none"/>
              </w:rPr>
            </w:pPr>
          </w:p>
        </w:tc>
        <w:tc>
          <w:tcPr>
            <w:tcW w:w="840" w:type="dxa"/>
          </w:tcPr>
          <w:p w14:paraId="135C5693">
            <w:pPr>
              <w:rPr>
                <w:rFonts w:hint="eastAsia" w:ascii="宋体" w:hAnsi="宋体" w:cs="宋体"/>
                <w:color w:val="auto"/>
                <w:sz w:val="24"/>
                <w:highlight w:val="none"/>
              </w:rPr>
            </w:pPr>
          </w:p>
        </w:tc>
        <w:tc>
          <w:tcPr>
            <w:tcW w:w="1260" w:type="dxa"/>
          </w:tcPr>
          <w:p w14:paraId="587200F8">
            <w:pPr>
              <w:rPr>
                <w:rFonts w:hint="eastAsia" w:ascii="宋体" w:hAnsi="宋体" w:cs="宋体"/>
                <w:color w:val="auto"/>
                <w:sz w:val="24"/>
                <w:highlight w:val="none"/>
              </w:rPr>
            </w:pPr>
          </w:p>
        </w:tc>
        <w:tc>
          <w:tcPr>
            <w:tcW w:w="1340" w:type="dxa"/>
          </w:tcPr>
          <w:p w14:paraId="289C1372">
            <w:pPr>
              <w:rPr>
                <w:rFonts w:hint="eastAsia" w:ascii="宋体" w:hAnsi="宋体" w:cs="宋体"/>
                <w:color w:val="auto"/>
                <w:sz w:val="24"/>
                <w:highlight w:val="none"/>
              </w:rPr>
            </w:pPr>
          </w:p>
        </w:tc>
        <w:tc>
          <w:tcPr>
            <w:tcW w:w="922" w:type="dxa"/>
          </w:tcPr>
          <w:p w14:paraId="06A2BEBB">
            <w:pPr>
              <w:rPr>
                <w:rFonts w:hint="eastAsia" w:ascii="宋体" w:hAnsi="宋体" w:cs="宋体"/>
                <w:color w:val="auto"/>
                <w:sz w:val="24"/>
                <w:highlight w:val="none"/>
              </w:rPr>
            </w:pPr>
          </w:p>
        </w:tc>
      </w:tr>
      <w:tr w14:paraId="6C102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0FDE13E">
            <w:pPr>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tcPr>
          <w:p w14:paraId="46B6D333">
            <w:pPr>
              <w:rPr>
                <w:rFonts w:hint="eastAsia" w:ascii="宋体" w:hAnsi="宋体" w:cs="宋体"/>
                <w:color w:val="auto"/>
                <w:sz w:val="24"/>
                <w:highlight w:val="none"/>
              </w:rPr>
            </w:pPr>
          </w:p>
        </w:tc>
        <w:tc>
          <w:tcPr>
            <w:tcW w:w="957" w:type="dxa"/>
          </w:tcPr>
          <w:p w14:paraId="6ED136E6">
            <w:pPr>
              <w:rPr>
                <w:rFonts w:hint="eastAsia" w:ascii="宋体" w:hAnsi="宋体" w:cs="宋体"/>
                <w:color w:val="auto"/>
                <w:sz w:val="24"/>
                <w:highlight w:val="none"/>
              </w:rPr>
            </w:pPr>
          </w:p>
        </w:tc>
        <w:tc>
          <w:tcPr>
            <w:tcW w:w="840" w:type="dxa"/>
          </w:tcPr>
          <w:p w14:paraId="6B33FA8E">
            <w:pPr>
              <w:rPr>
                <w:rFonts w:hint="eastAsia" w:ascii="宋体" w:hAnsi="宋体" w:cs="宋体"/>
                <w:color w:val="auto"/>
                <w:sz w:val="24"/>
                <w:highlight w:val="none"/>
              </w:rPr>
            </w:pPr>
          </w:p>
        </w:tc>
        <w:tc>
          <w:tcPr>
            <w:tcW w:w="1260" w:type="dxa"/>
          </w:tcPr>
          <w:p w14:paraId="44201418">
            <w:pPr>
              <w:rPr>
                <w:rFonts w:hint="eastAsia" w:ascii="宋体" w:hAnsi="宋体" w:cs="宋体"/>
                <w:color w:val="auto"/>
                <w:sz w:val="24"/>
                <w:highlight w:val="none"/>
              </w:rPr>
            </w:pPr>
          </w:p>
        </w:tc>
        <w:tc>
          <w:tcPr>
            <w:tcW w:w="1340" w:type="dxa"/>
          </w:tcPr>
          <w:p w14:paraId="1DAFB5F6">
            <w:pPr>
              <w:rPr>
                <w:rFonts w:hint="eastAsia" w:ascii="宋体" w:hAnsi="宋体" w:cs="宋体"/>
                <w:color w:val="auto"/>
                <w:sz w:val="24"/>
                <w:highlight w:val="none"/>
              </w:rPr>
            </w:pPr>
          </w:p>
        </w:tc>
        <w:tc>
          <w:tcPr>
            <w:tcW w:w="922" w:type="dxa"/>
          </w:tcPr>
          <w:p w14:paraId="78E45EA7">
            <w:pPr>
              <w:rPr>
                <w:rFonts w:hint="eastAsia" w:ascii="宋体" w:hAnsi="宋体" w:cs="宋体"/>
                <w:color w:val="auto"/>
                <w:sz w:val="24"/>
                <w:highlight w:val="none"/>
              </w:rPr>
            </w:pPr>
          </w:p>
        </w:tc>
      </w:tr>
      <w:tr w14:paraId="01BC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2B602D9">
            <w:pPr>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tcPr>
          <w:p w14:paraId="5B980770">
            <w:pPr>
              <w:rPr>
                <w:rFonts w:hint="eastAsia" w:ascii="宋体" w:hAnsi="宋体" w:cs="宋体"/>
                <w:color w:val="auto"/>
                <w:sz w:val="24"/>
                <w:highlight w:val="none"/>
              </w:rPr>
            </w:pPr>
          </w:p>
        </w:tc>
        <w:tc>
          <w:tcPr>
            <w:tcW w:w="957" w:type="dxa"/>
          </w:tcPr>
          <w:p w14:paraId="72622DE6">
            <w:pPr>
              <w:rPr>
                <w:rFonts w:hint="eastAsia" w:ascii="宋体" w:hAnsi="宋体" w:cs="宋体"/>
                <w:color w:val="auto"/>
                <w:sz w:val="24"/>
                <w:highlight w:val="none"/>
              </w:rPr>
            </w:pPr>
          </w:p>
        </w:tc>
        <w:tc>
          <w:tcPr>
            <w:tcW w:w="840" w:type="dxa"/>
          </w:tcPr>
          <w:p w14:paraId="3B87C512">
            <w:pPr>
              <w:rPr>
                <w:rFonts w:hint="eastAsia" w:ascii="宋体" w:hAnsi="宋体" w:cs="宋体"/>
                <w:color w:val="auto"/>
                <w:sz w:val="24"/>
                <w:highlight w:val="none"/>
              </w:rPr>
            </w:pPr>
          </w:p>
        </w:tc>
        <w:tc>
          <w:tcPr>
            <w:tcW w:w="1260" w:type="dxa"/>
          </w:tcPr>
          <w:p w14:paraId="62A00865">
            <w:pPr>
              <w:rPr>
                <w:rFonts w:hint="eastAsia" w:ascii="宋体" w:hAnsi="宋体" w:cs="宋体"/>
                <w:color w:val="auto"/>
                <w:sz w:val="24"/>
                <w:highlight w:val="none"/>
              </w:rPr>
            </w:pPr>
          </w:p>
        </w:tc>
        <w:tc>
          <w:tcPr>
            <w:tcW w:w="1340" w:type="dxa"/>
          </w:tcPr>
          <w:p w14:paraId="306F081F">
            <w:pPr>
              <w:rPr>
                <w:rFonts w:hint="eastAsia" w:ascii="宋体" w:hAnsi="宋体" w:cs="宋体"/>
                <w:color w:val="auto"/>
                <w:sz w:val="24"/>
                <w:highlight w:val="none"/>
              </w:rPr>
            </w:pPr>
          </w:p>
        </w:tc>
        <w:tc>
          <w:tcPr>
            <w:tcW w:w="922" w:type="dxa"/>
          </w:tcPr>
          <w:p w14:paraId="2E9769A6">
            <w:pPr>
              <w:rPr>
                <w:rFonts w:hint="eastAsia" w:ascii="宋体" w:hAnsi="宋体" w:cs="宋体"/>
                <w:color w:val="auto"/>
                <w:sz w:val="24"/>
                <w:highlight w:val="none"/>
              </w:rPr>
            </w:pPr>
          </w:p>
        </w:tc>
      </w:tr>
      <w:tr w14:paraId="5141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592C292">
            <w:pPr>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tcPr>
          <w:p w14:paraId="2A3F3602">
            <w:pPr>
              <w:rPr>
                <w:rFonts w:hint="eastAsia" w:ascii="宋体" w:hAnsi="宋体" w:cs="宋体"/>
                <w:color w:val="auto"/>
                <w:sz w:val="24"/>
                <w:highlight w:val="none"/>
              </w:rPr>
            </w:pPr>
          </w:p>
        </w:tc>
        <w:tc>
          <w:tcPr>
            <w:tcW w:w="957" w:type="dxa"/>
          </w:tcPr>
          <w:p w14:paraId="5607A279">
            <w:pPr>
              <w:rPr>
                <w:rFonts w:hint="eastAsia" w:ascii="宋体" w:hAnsi="宋体" w:cs="宋体"/>
                <w:color w:val="auto"/>
                <w:sz w:val="24"/>
                <w:highlight w:val="none"/>
              </w:rPr>
            </w:pPr>
          </w:p>
        </w:tc>
        <w:tc>
          <w:tcPr>
            <w:tcW w:w="840" w:type="dxa"/>
          </w:tcPr>
          <w:p w14:paraId="7DF0DB30">
            <w:pPr>
              <w:rPr>
                <w:rFonts w:hint="eastAsia" w:ascii="宋体" w:hAnsi="宋体" w:cs="宋体"/>
                <w:color w:val="auto"/>
                <w:sz w:val="24"/>
                <w:highlight w:val="none"/>
              </w:rPr>
            </w:pPr>
          </w:p>
        </w:tc>
        <w:tc>
          <w:tcPr>
            <w:tcW w:w="1260" w:type="dxa"/>
          </w:tcPr>
          <w:p w14:paraId="1C15BB79">
            <w:pPr>
              <w:rPr>
                <w:rFonts w:hint="eastAsia" w:ascii="宋体" w:hAnsi="宋体" w:cs="宋体"/>
                <w:color w:val="auto"/>
                <w:sz w:val="24"/>
                <w:highlight w:val="none"/>
              </w:rPr>
            </w:pPr>
          </w:p>
        </w:tc>
        <w:tc>
          <w:tcPr>
            <w:tcW w:w="1340" w:type="dxa"/>
          </w:tcPr>
          <w:p w14:paraId="08C5CE54">
            <w:pPr>
              <w:rPr>
                <w:rFonts w:hint="eastAsia" w:ascii="宋体" w:hAnsi="宋体" w:cs="宋体"/>
                <w:color w:val="auto"/>
                <w:sz w:val="24"/>
                <w:highlight w:val="none"/>
              </w:rPr>
            </w:pPr>
          </w:p>
        </w:tc>
        <w:tc>
          <w:tcPr>
            <w:tcW w:w="922" w:type="dxa"/>
          </w:tcPr>
          <w:p w14:paraId="278916ED">
            <w:pPr>
              <w:rPr>
                <w:rFonts w:hint="eastAsia" w:ascii="宋体" w:hAnsi="宋体" w:cs="宋体"/>
                <w:color w:val="auto"/>
                <w:sz w:val="24"/>
                <w:highlight w:val="none"/>
              </w:rPr>
            </w:pPr>
          </w:p>
        </w:tc>
      </w:tr>
      <w:tr w14:paraId="6DD9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572488">
            <w:pPr>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tcPr>
          <w:p w14:paraId="74216306">
            <w:pPr>
              <w:rPr>
                <w:rFonts w:hint="eastAsia" w:ascii="宋体" w:hAnsi="宋体" w:cs="宋体"/>
                <w:color w:val="auto"/>
                <w:sz w:val="24"/>
                <w:highlight w:val="none"/>
              </w:rPr>
            </w:pPr>
          </w:p>
        </w:tc>
        <w:tc>
          <w:tcPr>
            <w:tcW w:w="957" w:type="dxa"/>
          </w:tcPr>
          <w:p w14:paraId="3FE0D36B">
            <w:pPr>
              <w:rPr>
                <w:rFonts w:hint="eastAsia" w:ascii="宋体" w:hAnsi="宋体" w:cs="宋体"/>
                <w:color w:val="auto"/>
                <w:sz w:val="24"/>
                <w:highlight w:val="none"/>
              </w:rPr>
            </w:pPr>
          </w:p>
        </w:tc>
        <w:tc>
          <w:tcPr>
            <w:tcW w:w="840" w:type="dxa"/>
          </w:tcPr>
          <w:p w14:paraId="2F1B7BA0">
            <w:pPr>
              <w:rPr>
                <w:rFonts w:hint="eastAsia" w:ascii="宋体" w:hAnsi="宋体" w:cs="宋体"/>
                <w:color w:val="auto"/>
                <w:sz w:val="24"/>
                <w:highlight w:val="none"/>
              </w:rPr>
            </w:pPr>
          </w:p>
        </w:tc>
        <w:tc>
          <w:tcPr>
            <w:tcW w:w="1260" w:type="dxa"/>
          </w:tcPr>
          <w:p w14:paraId="4C62751A">
            <w:pPr>
              <w:rPr>
                <w:rFonts w:hint="eastAsia" w:ascii="宋体" w:hAnsi="宋体" w:cs="宋体"/>
                <w:color w:val="auto"/>
                <w:sz w:val="24"/>
                <w:highlight w:val="none"/>
              </w:rPr>
            </w:pPr>
          </w:p>
        </w:tc>
        <w:tc>
          <w:tcPr>
            <w:tcW w:w="1340" w:type="dxa"/>
          </w:tcPr>
          <w:p w14:paraId="78334753">
            <w:pPr>
              <w:rPr>
                <w:rFonts w:hint="eastAsia" w:ascii="宋体" w:hAnsi="宋体" w:cs="宋体"/>
                <w:color w:val="auto"/>
                <w:sz w:val="24"/>
                <w:highlight w:val="none"/>
              </w:rPr>
            </w:pPr>
          </w:p>
        </w:tc>
        <w:tc>
          <w:tcPr>
            <w:tcW w:w="922" w:type="dxa"/>
          </w:tcPr>
          <w:p w14:paraId="62443608">
            <w:pPr>
              <w:rPr>
                <w:rFonts w:hint="eastAsia" w:ascii="宋体" w:hAnsi="宋体" w:cs="宋体"/>
                <w:color w:val="auto"/>
                <w:sz w:val="24"/>
                <w:highlight w:val="none"/>
              </w:rPr>
            </w:pPr>
          </w:p>
        </w:tc>
      </w:tr>
      <w:tr w14:paraId="050D0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96F816">
            <w:pPr>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tcPr>
          <w:p w14:paraId="55B83E21">
            <w:pPr>
              <w:rPr>
                <w:rFonts w:hint="eastAsia" w:ascii="宋体" w:hAnsi="宋体" w:cs="宋体"/>
                <w:color w:val="auto"/>
                <w:sz w:val="24"/>
                <w:highlight w:val="none"/>
              </w:rPr>
            </w:pPr>
          </w:p>
        </w:tc>
        <w:tc>
          <w:tcPr>
            <w:tcW w:w="957" w:type="dxa"/>
          </w:tcPr>
          <w:p w14:paraId="18346589">
            <w:pPr>
              <w:rPr>
                <w:rFonts w:hint="eastAsia" w:ascii="宋体" w:hAnsi="宋体" w:cs="宋体"/>
                <w:color w:val="auto"/>
                <w:sz w:val="24"/>
                <w:highlight w:val="none"/>
              </w:rPr>
            </w:pPr>
          </w:p>
        </w:tc>
        <w:tc>
          <w:tcPr>
            <w:tcW w:w="840" w:type="dxa"/>
          </w:tcPr>
          <w:p w14:paraId="2D2801AD">
            <w:pPr>
              <w:rPr>
                <w:rFonts w:hint="eastAsia" w:ascii="宋体" w:hAnsi="宋体" w:cs="宋体"/>
                <w:color w:val="auto"/>
                <w:sz w:val="24"/>
                <w:highlight w:val="none"/>
              </w:rPr>
            </w:pPr>
          </w:p>
        </w:tc>
        <w:tc>
          <w:tcPr>
            <w:tcW w:w="1260" w:type="dxa"/>
          </w:tcPr>
          <w:p w14:paraId="72D51992">
            <w:pPr>
              <w:rPr>
                <w:rFonts w:hint="eastAsia" w:ascii="宋体" w:hAnsi="宋体" w:cs="宋体"/>
                <w:color w:val="auto"/>
                <w:sz w:val="24"/>
                <w:highlight w:val="none"/>
              </w:rPr>
            </w:pPr>
          </w:p>
        </w:tc>
        <w:tc>
          <w:tcPr>
            <w:tcW w:w="1340" w:type="dxa"/>
          </w:tcPr>
          <w:p w14:paraId="7442DA11">
            <w:pPr>
              <w:rPr>
                <w:rFonts w:hint="eastAsia" w:ascii="宋体" w:hAnsi="宋体" w:cs="宋体"/>
                <w:color w:val="auto"/>
                <w:sz w:val="24"/>
                <w:highlight w:val="none"/>
              </w:rPr>
            </w:pPr>
          </w:p>
        </w:tc>
        <w:tc>
          <w:tcPr>
            <w:tcW w:w="922" w:type="dxa"/>
          </w:tcPr>
          <w:p w14:paraId="43B4AAE6">
            <w:pPr>
              <w:rPr>
                <w:rFonts w:hint="eastAsia" w:ascii="宋体" w:hAnsi="宋体" w:cs="宋体"/>
                <w:color w:val="auto"/>
                <w:sz w:val="24"/>
                <w:highlight w:val="none"/>
              </w:rPr>
            </w:pPr>
          </w:p>
        </w:tc>
      </w:tr>
      <w:tr w14:paraId="4EC1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29F855">
            <w:pPr>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tcPr>
          <w:p w14:paraId="6828B0AA">
            <w:pPr>
              <w:rPr>
                <w:rFonts w:hint="eastAsia" w:ascii="宋体" w:hAnsi="宋体" w:cs="宋体"/>
                <w:color w:val="auto"/>
                <w:sz w:val="24"/>
                <w:highlight w:val="none"/>
              </w:rPr>
            </w:pPr>
          </w:p>
        </w:tc>
        <w:tc>
          <w:tcPr>
            <w:tcW w:w="957" w:type="dxa"/>
          </w:tcPr>
          <w:p w14:paraId="7C0E5726">
            <w:pPr>
              <w:rPr>
                <w:rFonts w:hint="eastAsia" w:ascii="宋体" w:hAnsi="宋体" w:cs="宋体"/>
                <w:color w:val="auto"/>
                <w:sz w:val="24"/>
                <w:highlight w:val="none"/>
              </w:rPr>
            </w:pPr>
          </w:p>
        </w:tc>
        <w:tc>
          <w:tcPr>
            <w:tcW w:w="840" w:type="dxa"/>
          </w:tcPr>
          <w:p w14:paraId="4D325480">
            <w:pPr>
              <w:rPr>
                <w:rFonts w:hint="eastAsia" w:ascii="宋体" w:hAnsi="宋体" w:cs="宋体"/>
                <w:color w:val="auto"/>
                <w:sz w:val="24"/>
                <w:highlight w:val="none"/>
              </w:rPr>
            </w:pPr>
          </w:p>
        </w:tc>
        <w:tc>
          <w:tcPr>
            <w:tcW w:w="1260" w:type="dxa"/>
          </w:tcPr>
          <w:p w14:paraId="1EE08A8B">
            <w:pPr>
              <w:rPr>
                <w:rFonts w:hint="eastAsia" w:ascii="宋体" w:hAnsi="宋体" w:cs="宋体"/>
                <w:color w:val="auto"/>
                <w:sz w:val="24"/>
                <w:highlight w:val="none"/>
              </w:rPr>
            </w:pPr>
          </w:p>
        </w:tc>
        <w:tc>
          <w:tcPr>
            <w:tcW w:w="1340" w:type="dxa"/>
          </w:tcPr>
          <w:p w14:paraId="272FBA62">
            <w:pPr>
              <w:rPr>
                <w:rFonts w:hint="eastAsia" w:ascii="宋体" w:hAnsi="宋体" w:cs="宋体"/>
                <w:color w:val="auto"/>
                <w:sz w:val="24"/>
                <w:highlight w:val="none"/>
              </w:rPr>
            </w:pPr>
          </w:p>
        </w:tc>
        <w:tc>
          <w:tcPr>
            <w:tcW w:w="922" w:type="dxa"/>
          </w:tcPr>
          <w:p w14:paraId="6D0E0ACE">
            <w:pPr>
              <w:rPr>
                <w:rFonts w:hint="eastAsia" w:ascii="宋体" w:hAnsi="宋体" w:cs="宋体"/>
                <w:color w:val="auto"/>
                <w:sz w:val="24"/>
                <w:highlight w:val="none"/>
              </w:rPr>
            </w:pPr>
          </w:p>
        </w:tc>
      </w:tr>
      <w:tr w14:paraId="3219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69B1DE">
            <w:pPr>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tcPr>
          <w:p w14:paraId="0AD97FCC">
            <w:pPr>
              <w:rPr>
                <w:rFonts w:hint="eastAsia" w:ascii="宋体" w:hAnsi="宋体" w:cs="宋体"/>
                <w:color w:val="auto"/>
                <w:sz w:val="24"/>
                <w:highlight w:val="none"/>
              </w:rPr>
            </w:pPr>
          </w:p>
        </w:tc>
        <w:tc>
          <w:tcPr>
            <w:tcW w:w="957" w:type="dxa"/>
          </w:tcPr>
          <w:p w14:paraId="5508692F">
            <w:pPr>
              <w:rPr>
                <w:rFonts w:hint="eastAsia" w:ascii="宋体" w:hAnsi="宋体" w:cs="宋体"/>
                <w:color w:val="auto"/>
                <w:sz w:val="24"/>
                <w:highlight w:val="none"/>
              </w:rPr>
            </w:pPr>
          </w:p>
        </w:tc>
        <w:tc>
          <w:tcPr>
            <w:tcW w:w="840" w:type="dxa"/>
          </w:tcPr>
          <w:p w14:paraId="3EB81321">
            <w:pPr>
              <w:rPr>
                <w:rFonts w:hint="eastAsia" w:ascii="宋体" w:hAnsi="宋体" w:cs="宋体"/>
                <w:color w:val="auto"/>
                <w:sz w:val="24"/>
                <w:highlight w:val="none"/>
              </w:rPr>
            </w:pPr>
          </w:p>
        </w:tc>
        <w:tc>
          <w:tcPr>
            <w:tcW w:w="1260" w:type="dxa"/>
          </w:tcPr>
          <w:p w14:paraId="36C2B7C6">
            <w:pPr>
              <w:rPr>
                <w:rFonts w:hint="eastAsia" w:ascii="宋体" w:hAnsi="宋体" w:cs="宋体"/>
                <w:color w:val="auto"/>
                <w:sz w:val="24"/>
                <w:highlight w:val="none"/>
              </w:rPr>
            </w:pPr>
          </w:p>
        </w:tc>
        <w:tc>
          <w:tcPr>
            <w:tcW w:w="1340" w:type="dxa"/>
          </w:tcPr>
          <w:p w14:paraId="6710F826">
            <w:pPr>
              <w:rPr>
                <w:rFonts w:hint="eastAsia" w:ascii="宋体" w:hAnsi="宋体" w:cs="宋体"/>
                <w:color w:val="auto"/>
                <w:sz w:val="24"/>
                <w:highlight w:val="none"/>
              </w:rPr>
            </w:pPr>
          </w:p>
        </w:tc>
        <w:tc>
          <w:tcPr>
            <w:tcW w:w="922" w:type="dxa"/>
          </w:tcPr>
          <w:p w14:paraId="110CC61D">
            <w:pPr>
              <w:rPr>
                <w:rFonts w:hint="eastAsia" w:ascii="宋体" w:hAnsi="宋体" w:cs="宋体"/>
                <w:color w:val="auto"/>
                <w:sz w:val="24"/>
                <w:highlight w:val="none"/>
              </w:rPr>
            </w:pPr>
          </w:p>
        </w:tc>
      </w:tr>
      <w:tr w14:paraId="723E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332022">
            <w:pPr>
              <w:jc w:val="center"/>
              <w:rPr>
                <w:rFonts w:hint="eastAsia" w:ascii="宋体" w:hAnsi="宋体" w:cs="宋体"/>
                <w:color w:val="auto"/>
                <w:sz w:val="24"/>
                <w:highlight w:val="none"/>
              </w:rPr>
            </w:pPr>
          </w:p>
        </w:tc>
        <w:tc>
          <w:tcPr>
            <w:tcW w:w="2205" w:type="dxa"/>
            <w:vAlign w:val="center"/>
          </w:tcPr>
          <w:p w14:paraId="15647319">
            <w:pPr>
              <w:rPr>
                <w:rFonts w:hint="eastAsia" w:ascii="宋体" w:hAnsi="宋体" w:cs="宋体"/>
                <w:color w:val="auto"/>
                <w:highlight w:val="none"/>
              </w:rPr>
            </w:pPr>
            <w:r>
              <w:rPr>
                <w:rFonts w:hint="eastAsia" w:ascii="宋体" w:hAnsi="宋体" w:cs="宋体"/>
                <w:color w:val="auto"/>
                <w:highlight w:val="none"/>
              </w:rPr>
              <w:t>其他费用</w:t>
            </w:r>
          </w:p>
        </w:tc>
        <w:tc>
          <w:tcPr>
            <w:tcW w:w="957" w:type="dxa"/>
          </w:tcPr>
          <w:p w14:paraId="49A04925">
            <w:pPr>
              <w:rPr>
                <w:rFonts w:hint="eastAsia" w:ascii="宋体" w:hAnsi="宋体" w:cs="宋体"/>
                <w:color w:val="auto"/>
                <w:sz w:val="24"/>
                <w:highlight w:val="none"/>
              </w:rPr>
            </w:pPr>
          </w:p>
        </w:tc>
        <w:tc>
          <w:tcPr>
            <w:tcW w:w="840" w:type="dxa"/>
          </w:tcPr>
          <w:p w14:paraId="2522D9B9">
            <w:pPr>
              <w:rPr>
                <w:rFonts w:hint="eastAsia" w:ascii="宋体" w:hAnsi="宋体" w:cs="宋体"/>
                <w:color w:val="auto"/>
                <w:sz w:val="24"/>
                <w:highlight w:val="none"/>
              </w:rPr>
            </w:pPr>
          </w:p>
        </w:tc>
        <w:tc>
          <w:tcPr>
            <w:tcW w:w="1260" w:type="dxa"/>
          </w:tcPr>
          <w:p w14:paraId="45075A69">
            <w:pPr>
              <w:rPr>
                <w:rFonts w:hint="eastAsia" w:ascii="宋体" w:hAnsi="宋体" w:cs="宋体"/>
                <w:color w:val="auto"/>
                <w:sz w:val="24"/>
                <w:highlight w:val="none"/>
              </w:rPr>
            </w:pPr>
          </w:p>
        </w:tc>
        <w:tc>
          <w:tcPr>
            <w:tcW w:w="1340" w:type="dxa"/>
          </w:tcPr>
          <w:p w14:paraId="46243D92">
            <w:pPr>
              <w:rPr>
                <w:rFonts w:hint="eastAsia" w:ascii="宋体" w:hAnsi="宋体" w:cs="宋体"/>
                <w:color w:val="auto"/>
                <w:sz w:val="24"/>
                <w:highlight w:val="none"/>
              </w:rPr>
            </w:pPr>
          </w:p>
        </w:tc>
        <w:tc>
          <w:tcPr>
            <w:tcW w:w="922" w:type="dxa"/>
          </w:tcPr>
          <w:p w14:paraId="775AD231">
            <w:pPr>
              <w:rPr>
                <w:rFonts w:hint="eastAsia" w:ascii="宋体" w:hAnsi="宋体" w:cs="宋体"/>
                <w:color w:val="auto"/>
                <w:sz w:val="24"/>
                <w:highlight w:val="none"/>
              </w:rPr>
            </w:pPr>
          </w:p>
        </w:tc>
      </w:tr>
      <w:tr w14:paraId="3467B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63F77C">
            <w:pPr>
              <w:jc w:val="center"/>
              <w:rPr>
                <w:rFonts w:hint="eastAsia" w:ascii="宋体" w:hAnsi="宋体" w:cs="宋体"/>
                <w:color w:val="auto"/>
                <w:sz w:val="24"/>
                <w:highlight w:val="none"/>
              </w:rPr>
            </w:pPr>
          </w:p>
        </w:tc>
        <w:tc>
          <w:tcPr>
            <w:tcW w:w="2205" w:type="dxa"/>
            <w:vAlign w:val="center"/>
          </w:tcPr>
          <w:p w14:paraId="011A46F6">
            <w:pPr>
              <w:rPr>
                <w:rFonts w:hint="eastAsia" w:ascii="宋体" w:hAnsi="宋体" w:cs="宋体"/>
                <w:color w:val="auto"/>
                <w:highlight w:val="none"/>
              </w:rPr>
            </w:pPr>
            <w:r>
              <w:rPr>
                <w:rFonts w:hint="eastAsia" w:ascii="宋体" w:hAnsi="宋体" w:cs="宋体"/>
                <w:color w:val="auto"/>
                <w:highlight w:val="none"/>
              </w:rPr>
              <w:t>合计</w:t>
            </w:r>
          </w:p>
        </w:tc>
        <w:tc>
          <w:tcPr>
            <w:tcW w:w="957" w:type="dxa"/>
          </w:tcPr>
          <w:p w14:paraId="682108F5">
            <w:pPr>
              <w:rPr>
                <w:rFonts w:hint="eastAsia" w:ascii="宋体" w:hAnsi="宋体" w:cs="宋体"/>
                <w:color w:val="auto"/>
                <w:sz w:val="24"/>
                <w:highlight w:val="none"/>
              </w:rPr>
            </w:pPr>
          </w:p>
        </w:tc>
        <w:tc>
          <w:tcPr>
            <w:tcW w:w="840" w:type="dxa"/>
          </w:tcPr>
          <w:p w14:paraId="566184AF">
            <w:pPr>
              <w:rPr>
                <w:rFonts w:hint="eastAsia" w:ascii="宋体" w:hAnsi="宋体" w:cs="宋体"/>
                <w:color w:val="auto"/>
                <w:sz w:val="24"/>
                <w:highlight w:val="none"/>
              </w:rPr>
            </w:pPr>
          </w:p>
        </w:tc>
        <w:tc>
          <w:tcPr>
            <w:tcW w:w="1260" w:type="dxa"/>
          </w:tcPr>
          <w:p w14:paraId="762BFF2B">
            <w:pPr>
              <w:rPr>
                <w:rFonts w:hint="eastAsia" w:ascii="宋体" w:hAnsi="宋体" w:cs="宋体"/>
                <w:color w:val="auto"/>
                <w:sz w:val="24"/>
                <w:highlight w:val="none"/>
              </w:rPr>
            </w:pPr>
          </w:p>
        </w:tc>
        <w:tc>
          <w:tcPr>
            <w:tcW w:w="1340" w:type="dxa"/>
          </w:tcPr>
          <w:p w14:paraId="10E90D69">
            <w:pPr>
              <w:rPr>
                <w:rFonts w:hint="eastAsia" w:ascii="宋体" w:hAnsi="宋体" w:cs="宋体"/>
                <w:color w:val="auto"/>
                <w:sz w:val="24"/>
                <w:highlight w:val="none"/>
              </w:rPr>
            </w:pPr>
          </w:p>
        </w:tc>
        <w:tc>
          <w:tcPr>
            <w:tcW w:w="922" w:type="dxa"/>
          </w:tcPr>
          <w:p w14:paraId="57B42120">
            <w:pPr>
              <w:rPr>
                <w:rFonts w:hint="eastAsia" w:ascii="宋体" w:hAnsi="宋体" w:cs="宋体"/>
                <w:color w:val="auto"/>
                <w:sz w:val="24"/>
                <w:highlight w:val="none"/>
              </w:rPr>
            </w:pPr>
          </w:p>
        </w:tc>
      </w:tr>
    </w:tbl>
    <w:p w14:paraId="0A6577A7">
      <w:pPr>
        <w:pStyle w:val="56"/>
        <w:spacing w:line="360" w:lineRule="auto"/>
        <w:ind w:left="5250"/>
        <w:rPr>
          <w:rFonts w:hint="eastAsia" w:ascii="宋体" w:hAnsi="宋体" w:cs="宋体"/>
          <w:color w:val="auto"/>
          <w:sz w:val="24"/>
          <w:highlight w:val="none"/>
        </w:rPr>
      </w:pPr>
    </w:p>
    <w:p w14:paraId="71ABEA6D">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lang w:eastAsia="zh-CN"/>
        </w:rPr>
        <w:t>投标人</w:t>
      </w:r>
      <w:r>
        <w:rPr>
          <w:rFonts w:hint="eastAsia" w:ascii="宋体" w:hAnsi="宋体" w:cs="宋体"/>
          <w:color w:val="auto"/>
          <w:sz w:val="24"/>
          <w:highlight w:val="none"/>
        </w:rPr>
        <w:t>名称：（电子公章）</w:t>
      </w:r>
    </w:p>
    <w:p w14:paraId="6B4D509B">
      <w:pPr>
        <w:spacing w:line="380" w:lineRule="exact"/>
        <w:ind w:right="640" w:firstLine="1560" w:firstLineChars="650"/>
        <w:rPr>
          <w:rFonts w:hint="eastAsia" w:ascii="宋体" w:hAnsi="宋体" w:cs="宋体"/>
          <w:color w:val="auto"/>
          <w:sz w:val="24"/>
          <w:highlight w:val="none"/>
        </w:rPr>
      </w:pPr>
    </w:p>
    <w:p w14:paraId="101A31A3">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法定代表人或负责人：（签字）</w:t>
      </w:r>
    </w:p>
    <w:p w14:paraId="57EF0046">
      <w:pPr>
        <w:spacing w:line="380" w:lineRule="exact"/>
        <w:jc w:val="center"/>
        <w:rPr>
          <w:rFonts w:hint="eastAsia" w:ascii="宋体" w:hAnsi="宋体" w:cs="宋体"/>
          <w:color w:val="auto"/>
          <w:sz w:val="24"/>
          <w:highlight w:val="none"/>
        </w:rPr>
      </w:pPr>
    </w:p>
    <w:p w14:paraId="06EA50E7">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7C4C2388">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cs="宋体"/>
          <w:b/>
          <w:bCs/>
          <w:color w:val="auto"/>
          <w:sz w:val="24"/>
          <w:szCs w:val="28"/>
          <w:highlight w:val="none"/>
        </w:rPr>
        <w:t>备注：</w:t>
      </w:r>
      <w:r>
        <w:rPr>
          <w:rFonts w:hint="eastAsia" w:ascii="宋体" w:hAnsi="宋体" w:eastAsia="宋体" w:cs="宋体"/>
          <w:b/>
          <w:bCs/>
          <w:color w:val="auto"/>
          <w:sz w:val="24"/>
          <w:szCs w:val="28"/>
          <w:highlight w:val="none"/>
        </w:rPr>
        <w:t>报价为所投服务的单价组成。包括税金及其它。</w:t>
      </w:r>
    </w:p>
    <w:p w14:paraId="17F8FEC2">
      <w:pPr>
        <w:adjustRightInd w:val="0"/>
        <w:snapToGrid w:val="0"/>
        <w:spacing w:line="360" w:lineRule="auto"/>
        <w:rPr>
          <w:rFonts w:hint="eastAsia" w:ascii="宋体" w:hAnsi="宋体" w:cs="宋体"/>
          <w:b/>
          <w:bCs/>
          <w:color w:val="auto"/>
          <w:sz w:val="24"/>
          <w:szCs w:val="28"/>
          <w:highlight w:val="none"/>
        </w:rPr>
      </w:pPr>
    </w:p>
    <w:p w14:paraId="1E7736B7">
      <w:pPr>
        <w:pStyle w:val="30"/>
        <w:rPr>
          <w:rFonts w:hint="eastAsia" w:ascii="宋体" w:hAnsi="宋体" w:cs="宋体"/>
          <w:color w:val="auto"/>
          <w:highlight w:val="none"/>
        </w:rPr>
      </w:pPr>
    </w:p>
    <w:p w14:paraId="4388C75B">
      <w:pPr>
        <w:pStyle w:val="5"/>
        <w:jc w:val="center"/>
        <w:rPr>
          <w:color w:val="auto"/>
          <w:highlight w:val="none"/>
        </w:rPr>
      </w:pPr>
      <w:r>
        <w:rPr>
          <w:rFonts w:hint="eastAsia"/>
          <w:color w:val="auto"/>
          <w:highlight w:val="none"/>
        </w:rPr>
        <w:t>五．投标响应表</w:t>
      </w:r>
    </w:p>
    <w:tbl>
      <w:tblPr>
        <w:tblStyle w:val="35"/>
        <w:tblW w:w="86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525"/>
        <w:gridCol w:w="2616"/>
        <w:gridCol w:w="2397"/>
        <w:gridCol w:w="1270"/>
      </w:tblGrid>
      <w:tr w14:paraId="28D6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5012" w:type="dxa"/>
            <w:gridSpan w:val="3"/>
            <w:vAlign w:val="center"/>
          </w:tcPr>
          <w:p w14:paraId="7154D322">
            <w:pPr>
              <w:pStyle w:val="81"/>
              <w:jc w:val="center"/>
              <w:rPr>
                <w:rFonts w:hint="eastAsia" w:hAnsi="宋体" w:cs="宋体"/>
                <w:b/>
                <w:color w:val="auto"/>
                <w:sz w:val="24"/>
                <w:highlight w:val="none"/>
              </w:rPr>
            </w:pPr>
            <w:r>
              <w:rPr>
                <w:rFonts w:hint="eastAsia" w:hAnsi="宋体" w:cs="宋体"/>
                <w:b/>
                <w:color w:val="auto"/>
                <w:sz w:val="24"/>
                <w:highlight w:val="none"/>
              </w:rPr>
              <w:t>按招标文件规定填写</w:t>
            </w:r>
          </w:p>
        </w:tc>
        <w:tc>
          <w:tcPr>
            <w:tcW w:w="3667" w:type="dxa"/>
            <w:gridSpan w:val="2"/>
            <w:vAlign w:val="center"/>
          </w:tcPr>
          <w:p w14:paraId="5E34C0D3">
            <w:pPr>
              <w:pStyle w:val="81"/>
              <w:jc w:val="center"/>
              <w:rPr>
                <w:rFonts w:hint="eastAsia" w:hAnsi="宋体" w:cs="宋体"/>
                <w:b/>
                <w:color w:val="auto"/>
                <w:sz w:val="24"/>
                <w:highlight w:val="none"/>
              </w:rPr>
            </w:pPr>
            <w:r>
              <w:rPr>
                <w:rFonts w:hint="eastAsia" w:hAnsi="宋体" w:cs="宋体"/>
                <w:b/>
                <w:color w:val="auto"/>
                <w:sz w:val="24"/>
                <w:highlight w:val="none"/>
              </w:rPr>
              <w:t>按投标人所投内容填写</w:t>
            </w:r>
          </w:p>
        </w:tc>
      </w:tr>
      <w:tr w14:paraId="24F73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8679" w:type="dxa"/>
            <w:gridSpan w:val="5"/>
            <w:vAlign w:val="center"/>
          </w:tcPr>
          <w:p w14:paraId="4249D182">
            <w:pPr>
              <w:pStyle w:val="81"/>
              <w:jc w:val="center"/>
              <w:rPr>
                <w:rFonts w:hint="eastAsia" w:hAnsi="宋体" w:cs="宋体"/>
                <w:b/>
                <w:color w:val="auto"/>
                <w:sz w:val="24"/>
                <w:highlight w:val="none"/>
              </w:rPr>
            </w:pPr>
            <w:r>
              <w:rPr>
                <w:rFonts w:hint="eastAsia" w:hAnsi="宋体" w:cs="宋体"/>
                <w:b/>
                <w:color w:val="auto"/>
                <w:sz w:val="24"/>
                <w:highlight w:val="none"/>
              </w:rPr>
              <w:t>第一部分：技术部分响应</w:t>
            </w:r>
          </w:p>
        </w:tc>
      </w:tr>
      <w:tr w14:paraId="6AD2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3" w:hRule="atLeast"/>
        </w:trPr>
        <w:tc>
          <w:tcPr>
            <w:tcW w:w="871" w:type="dxa"/>
            <w:vAlign w:val="center"/>
          </w:tcPr>
          <w:p w14:paraId="3BE520E7">
            <w:pPr>
              <w:pStyle w:val="81"/>
              <w:jc w:val="center"/>
              <w:rPr>
                <w:rFonts w:hint="eastAsia" w:hAnsi="宋体" w:cs="宋体"/>
                <w:b/>
                <w:color w:val="auto"/>
                <w:sz w:val="24"/>
                <w:highlight w:val="none"/>
              </w:rPr>
            </w:pPr>
            <w:r>
              <w:rPr>
                <w:rFonts w:hint="eastAsia" w:hAnsi="宋体" w:cs="宋体"/>
                <w:b/>
                <w:color w:val="auto"/>
                <w:sz w:val="24"/>
                <w:highlight w:val="none"/>
              </w:rPr>
              <w:t>序号</w:t>
            </w:r>
          </w:p>
        </w:tc>
        <w:tc>
          <w:tcPr>
            <w:tcW w:w="1525" w:type="dxa"/>
            <w:vAlign w:val="center"/>
          </w:tcPr>
          <w:p w14:paraId="602C04E0">
            <w:pPr>
              <w:pStyle w:val="81"/>
              <w:jc w:val="center"/>
              <w:rPr>
                <w:rFonts w:hint="eastAsia" w:hAnsi="宋体" w:cs="宋体"/>
                <w:b/>
                <w:color w:val="auto"/>
                <w:sz w:val="24"/>
                <w:highlight w:val="none"/>
              </w:rPr>
            </w:pPr>
            <w:r>
              <w:rPr>
                <w:rFonts w:hint="eastAsia" w:hAnsi="宋体" w:cs="宋体"/>
                <w:b/>
                <w:color w:val="auto"/>
                <w:sz w:val="24"/>
                <w:highlight w:val="none"/>
              </w:rPr>
              <w:t>品名</w:t>
            </w:r>
          </w:p>
        </w:tc>
        <w:tc>
          <w:tcPr>
            <w:tcW w:w="2616" w:type="dxa"/>
            <w:vAlign w:val="center"/>
          </w:tcPr>
          <w:p w14:paraId="13C3DFBE">
            <w:pPr>
              <w:pStyle w:val="81"/>
              <w:jc w:val="center"/>
              <w:rPr>
                <w:rFonts w:hint="eastAsia" w:hAnsi="宋体" w:cs="宋体"/>
                <w:b/>
                <w:color w:val="auto"/>
                <w:sz w:val="24"/>
                <w:highlight w:val="none"/>
              </w:rPr>
            </w:pPr>
            <w:r>
              <w:rPr>
                <w:rFonts w:hint="eastAsia" w:hAnsi="宋体" w:cs="宋体"/>
                <w:b/>
                <w:color w:val="auto"/>
                <w:sz w:val="24"/>
                <w:highlight w:val="none"/>
              </w:rPr>
              <w:t>招标文件要求</w:t>
            </w:r>
          </w:p>
        </w:tc>
        <w:tc>
          <w:tcPr>
            <w:tcW w:w="2397" w:type="dxa"/>
            <w:vAlign w:val="center"/>
          </w:tcPr>
          <w:p w14:paraId="5C6B31BF">
            <w:pPr>
              <w:pStyle w:val="81"/>
              <w:rPr>
                <w:rFonts w:hint="eastAsia" w:hAnsi="宋体" w:cs="宋体"/>
                <w:b/>
                <w:color w:val="auto"/>
                <w:sz w:val="24"/>
                <w:highlight w:val="none"/>
              </w:rPr>
            </w:pPr>
            <w:r>
              <w:rPr>
                <w:rFonts w:hint="eastAsia" w:hAnsi="宋体" w:cs="宋体"/>
                <w:b/>
                <w:color w:val="auto"/>
                <w:sz w:val="24"/>
                <w:highlight w:val="none"/>
              </w:rPr>
              <w:t>投标响应</w:t>
            </w:r>
          </w:p>
          <w:p w14:paraId="17604F4B">
            <w:pPr>
              <w:pStyle w:val="81"/>
              <w:rPr>
                <w:rFonts w:hint="eastAsia" w:hAnsi="宋体" w:cs="宋体"/>
                <w:b/>
                <w:color w:val="auto"/>
                <w:sz w:val="24"/>
                <w:highlight w:val="none"/>
              </w:rPr>
            </w:pPr>
          </w:p>
        </w:tc>
        <w:tc>
          <w:tcPr>
            <w:tcW w:w="1270" w:type="dxa"/>
            <w:vAlign w:val="center"/>
          </w:tcPr>
          <w:p w14:paraId="64CEC118">
            <w:pPr>
              <w:pStyle w:val="81"/>
              <w:jc w:val="center"/>
              <w:rPr>
                <w:rFonts w:hint="eastAsia" w:hAnsi="宋体" w:cs="宋体"/>
                <w:b/>
                <w:color w:val="auto"/>
                <w:sz w:val="24"/>
                <w:highlight w:val="none"/>
              </w:rPr>
            </w:pPr>
            <w:r>
              <w:rPr>
                <w:rFonts w:hint="eastAsia" w:hAnsi="宋体" w:cs="宋体"/>
                <w:b/>
                <w:color w:val="auto"/>
                <w:sz w:val="24"/>
                <w:highlight w:val="none"/>
              </w:rPr>
              <w:t>偏离说明</w:t>
            </w:r>
          </w:p>
        </w:tc>
      </w:tr>
      <w:tr w14:paraId="578B5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871" w:type="dxa"/>
            <w:vAlign w:val="center"/>
          </w:tcPr>
          <w:p w14:paraId="2ACBD345">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525" w:type="dxa"/>
          </w:tcPr>
          <w:p w14:paraId="6874C5C5">
            <w:pPr>
              <w:rPr>
                <w:rFonts w:hint="eastAsia" w:ascii="宋体" w:hAnsi="宋体" w:cs="宋体"/>
                <w:color w:val="auto"/>
                <w:sz w:val="24"/>
                <w:highlight w:val="none"/>
              </w:rPr>
            </w:pPr>
          </w:p>
        </w:tc>
        <w:tc>
          <w:tcPr>
            <w:tcW w:w="2616" w:type="dxa"/>
          </w:tcPr>
          <w:p w14:paraId="62D41040">
            <w:pPr>
              <w:rPr>
                <w:rFonts w:hint="eastAsia" w:ascii="宋体" w:hAnsi="宋体" w:cs="宋体"/>
                <w:color w:val="auto"/>
                <w:sz w:val="24"/>
                <w:highlight w:val="none"/>
              </w:rPr>
            </w:pPr>
          </w:p>
        </w:tc>
        <w:tc>
          <w:tcPr>
            <w:tcW w:w="2397" w:type="dxa"/>
          </w:tcPr>
          <w:p w14:paraId="7C80407C">
            <w:pPr>
              <w:rPr>
                <w:rFonts w:hint="eastAsia" w:ascii="宋体" w:hAnsi="宋体" w:cs="宋体"/>
                <w:color w:val="auto"/>
                <w:sz w:val="24"/>
                <w:highlight w:val="none"/>
              </w:rPr>
            </w:pPr>
          </w:p>
        </w:tc>
        <w:tc>
          <w:tcPr>
            <w:tcW w:w="1270" w:type="dxa"/>
          </w:tcPr>
          <w:p w14:paraId="5F36E20F">
            <w:pPr>
              <w:rPr>
                <w:rFonts w:hint="eastAsia" w:ascii="宋体" w:hAnsi="宋体" w:cs="宋体"/>
                <w:color w:val="auto"/>
                <w:sz w:val="24"/>
                <w:highlight w:val="none"/>
              </w:rPr>
            </w:pPr>
          </w:p>
        </w:tc>
      </w:tr>
      <w:tr w14:paraId="0EE06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871" w:type="dxa"/>
            <w:vAlign w:val="center"/>
          </w:tcPr>
          <w:p w14:paraId="1720B72C">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525" w:type="dxa"/>
          </w:tcPr>
          <w:p w14:paraId="5D1FCC4E">
            <w:pPr>
              <w:rPr>
                <w:rFonts w:hint="eastAsia" w:ascii="宋体" w:hAnsi="宋体" w:cs="宋体"/>
                <w:color w:val="auto"/>
                <w:sz w:val="24"/>
                <w:highlight w:val="none"/>
              </w:rPr>
            </w:pPr>
          </w:p>
        </w:tc>
        <w:tc>
          <w:tcPr>
            <w:tcW w:w="2616" w:type="dxa"/>
          </w:tcPr>
          <w:p w14:paraId="27EDA474">
            <w:pPr>
              <w:rPr>
                <w:rFonts w:hint="eastAsia" w:ascii="宋体" w:hAnsi="宋体" w:cs="宋体"/>
                <w:color w:val="auto"/>
                <w:sz w:val="24"/>
                <w:highlight w:val="none"/>
              </w:rPr>
            </w:pPr>
          </w:p>
        </w:tc>
        <w:tc>
          <w:tcPr>
            <w:tcW w:w="2397" w:type="dxa"/>
          </w:tcPr>
          <w:p w14:paraId="62CAC0FE">
            <w:pPr>
              <w:rPr>
                <w:rFonts w:hint="eastAsia" w:ascii="宋体" w:hAnsi="宋体" w:cs="宋体"/>
                <w:color w:val="auto"/>
                <w:sz w:val="24"/>
                <w:highlight w:val="none"/>
              </w:rPr>
            </w:pPr>
          </w:p>
        </w:tc>
        <w:tc>
          <w:tcPr>
            <w:tcW w:w="1270" w:type="dxa"/>
          </w:tcPr>
          <w:p w14:paraId="175ABBB9">
            <w:pPr>
              <w:rPr>
                <w:rFonts w:hint="eastAsia" w:ascii="宋体" w:hAnsi="宋体" w:cs="宋体"/>
                <w:color w:val="auto"/>
                <w:sz w:val="24"/>
                <w:highlight w:val="none"/>
              </w:rPr>
            </w:pPr>
          </w:p>
        </w:tc>
      </w:tr>
      <w:tr w14:paraId="59C2D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871" w:type="dxa"/>
            <w:vAlign w:val="center"/>
          </w:tcPr>
          <w:p w14:paraId="52E1BAF3">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525" w:type="dxa"/>
          </w:tcPr>
          <w:p w14:paraId="38CDD5D1">
            <w:pPr>
              <w:rPr>
                <w:rFonts w:hint="eastAsia" w:ascii="宋体" w:hAnsi="宋体" w:cs="宋体"/>
                <w:color w:val="auto"/>
                <w:sz w:val="24"/>
                <w:highlight w:val="none"/>
              </w:rPr>
            </w:pPr>
          </w:p>
        </w:tc>
        <w:tc>
          <w:tcPr>
            <w:tcW w:w="2616" w:type="dxa"/>
          </w:tcPr>
          <w:p w14:paraId="4B908F16">
            <w:pPr>
              <w:rPr>
                <w:rFonts w:hint="eastAsia" w:ascii="宋体" w:hAnsi="宋体" w:cs="宋体"/>
                <w:color w:val="auto"/>
                <w:sz w:val="24"/>
                <w:highlight w:val="none"/>
              </w:rPr>
            </w:pPr>
          </w:p>
        </w:tc>
        <w:tc>
          <w:tcPr>
            <w:tcW w:w="2397" w:type="dxa"/>
          </w:tcPr>
          <w:p w14:paraId="03CE28DF">
            <w:pPr>
              <w:rPr>
                <w:rFonts w:hint="eastAsia" w:ascii="宋体" w:hAnsi="宋体" w:cs="宋体"/>
                <w:color w:val="auto"/>
                <w:highlight w:val="none"/>
              </w:rPr>
            </w:pPr>
          </w:p>
        </w:tc>
        <w:tc>
          <w:tcPr>
            <w:tcW w:w="1270" w:type="dxa"/>
          </w:tcPr>
          <w:p w14:paraId="17029961">
            <w:pPr>
              <w:rPr>
                <w:rFonts w:hint="eastAsia" w:ascii="宋体" w:hAnsi="宋体" w:cs="宋体"/>
                <w:color w:val="auto"/>
                <w:sz w:val="24"/>
                <w:highlight w:val="none"/>
              </w:rPr>
            </w:pPr>
          </w:p>
        </w:tc>
      </w:tr>
      <w:tr w14:paraId="0251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871" w:type="dxa"/>
            <w:vAlign w:val="center"/>
          </w:tcPr>
          <w:p w14:paraId="21F42B28">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525" w:type="dxa"/>
          </w:tcPr>
          <w:p w14:paraId="2F28508F">
            <w:pPr>
              <w:rPr>
                <w:rFonts w:hint="eastAsia" w:ascii="宋体" w:hAnsi="宋体" w:cs="宋体"/>
                <w:color w:val="auto"/>
                <w:sz w:val="24"/>
                <w:highlight w:val="none"/>
              </w:rPr>
            </w:pPr>
          </w:p>
        </w:tc>
        <w:tc>
          <w:tcPr>
            <w:tcW w:w="2616" w:type="dxa"/>
          </w:tcPr>
          <w:p w14:paraId="38A74C2D">
            <w:pPr>
              <w:rPr>
                <w:rFonts w:hint="eastAsia" w:ascii="宋体" w:hAnsi="宋体" w:cs="宋体"/>
                <w:color w:val="auto"/>
                <w:sz w:val="24"/>
                <w:highlight w:val="none"/>
              </w:rPr>
            </w:pPr>
          </w:p>
        </w:tc>
        <w:tc>
          <w:tcPr>
            <w:tcW w:w="2397" w:type="dxa"/>
          </w:tcPr>
          <w:p w14:paraId="0522261B">
            <w:pPr>
              <w:rPr>
                <w:rFonts w:hint="eastAsia" w:ascii="宋体" w:hAnsi="宋体" w:cs="宋体"/>
                <w:color w:val="auto"/>
                <w:sz w:val="24"/>
                <w:highlight w:val="none"/>
              </w:rPr>
            </w:pPr>
          </w:p>
        </w:tc>
        <w:tc>
          <w:tcPr>
            <w:tcW w:w="1270" w:type="dxa"/>
          </w:tcPr>
          <w:p w14:paraId="0A1C7F6D">
            <w:pPr>
              <w:rPr>
                <w:rFonts w:hint="eastAsia" w:ascii="宋体" w:hAnsi="宋体" w:cs="宋体"/>
                <w:color w:val="auto"/>
                <w:sz w:val="24"/>
                <w:highlight w:val="none"/>
              </w:rPr>
            </w:pPr>
          </w:p>
        </w:tc>
      </w:tr>
      <w:tr w14:paraId="5422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8679" w:type="dxa"/>
            <w:gridSpan w:val="5"/>
            <w:vAlign w:val="center"/>
          </w:tcPr>
          <w:p w14:paraId="0022DA6C">
            <w:pPr>
              <w:pStyle w:val="81"/>
              <w:jc w:val="center"/>
              <w:rPr>
                <w:rFonts w:hint="eastAsia" w:hAnsi="宋体" w:cs="宋体"/>
                <w:color w:val="auto"/>
                <w:sz w:val="24"/>
                <w:highlight w:val="none"/>
              </w:rPr>
            </w:pPr>
            <w:r>
              <w:rPr>
                <w:rFonts w:hint="eastAsia" w:hAnsi="宋体" w:cs="宋体"/>
                <w:b/>
                <w:color w:val="auto"/>
                <w:sz w:val="24"/>
                <w:highlight w:val="none"/>
              </w:rPr>
              <w:t>第二部分：资信及报价部分响应</w:t>
            </w:r>
          </w:p>
        </w:tc>
      </w:tr>
      <w:tr w14:paraId="4128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871" w:type="dxa"/>
            <w:vAlign w:val="center"/>
          </w:tcPr>
          <w:p w14:paraId="39E07A08">
            <w:pPr>
              <w:pStyle w:val="81"/>
              <w:jc w:val="center"/>
              <w:rPr>
                <w:rFonts w:hint="eastAsia" w:hAnsi="宋体" w:cs="宋体"/>
                <w:b/>
                <w:color w:val="auto"/>
                <w:sz w:val="24"/>
                <w:highlight w:val="none"/>
              </w:rPr>
            </w:pPr>
            <w:r>
              <w:rPr>
                <w:rFonts w:hint="eastAsia" w:hAnsi="宋体" w:cs="宋体"/>
                <w:b/>
                <w:color w:val="auto"/>
                <w:sz w:val="24"/>
                <w:highlight w:val="none"/>
              </w:rPr>
              <w:t>序号</w:t>
            </w:r>
          </w:p>
        </w:tc>
        <w:tc>
          <w:tcPr>
            <w:tcW w:w="1525" w:type="dxa"/>
            <w:vAlign w:val="center"/>
          </w:tcPr>
          <w:p w14:paraId="73B64591">
            <w:pPr>
              <w:pStyle w:val="81"/>
              <w:jc w:val="center"/>
              <w:rPr>
                <w:rFonts w:hint="eastAsia" w:hAnsi="宋体" w:cs="宋体"/>
                <w:b/>
                <w:color w:val="auto"/>
                <w:sz w:val="24"/>
                <w:highlight w:val="none"/>
              </w:rPr>
            </w:pPr>
            <w:r>
              <w:rPr>
                <w:rFonts w:hint="eastAsia" w:hAnsi="宋体" w:cs="宋体"/>
                <w:b/>
                <w:color w:val="auto"/>
                <w:sz w:val="24"/>
                <w:highlight w:val="none"/>
              </w:rPr>
              <w:t>内容</w:t>
            </w:r>
          </w:p>
        </w:tc>
        <w:tc>
          <w:tcPr>
            <w:tcW w:w="2616" w:type="dxa"/>
            <w:vAlign w:val="center"/>
          </w:tcPr>
          <w:p w14:paraId="3297C283">
            <w:pPr>
              <w:pStyle w:val="81"/>
              <w:jc w:val="center"/>
              <w:rPr>
                <w:rFonts w:hint="eastAsia" w:hAnsi="宋体" w:cs="宋体"/>
                <w:b/>
                <w:color w:val="auto"/>
                <w:sz w:val="24"/>
                <w:highlight w:val="none"/>
              </w:rPr>
            </w:pPr>
            <w:r>
              <w:rPr>
                <w:rFonts w:hint="eastAsia" w:hAnsi="宋体" w:cs="宋体"/>
                <w:b/>
                <w:color w:val="auto"/>
                <w:sz w:val="24"/>
                <w:highlight w:val="none"/>
              </w:rPr>
              <w:t>招标要求</w:t>
            </w:r>
          </w:p>
        </w:tc>
        <w:tc>
          <w:tcPr>
            <w:tcW w:w="2397" w:type="dxa"/>
            <w:vAlign w:val="center"/>
          </w:tcPr>
          <w:p w14:paraId="030DF8BB">
            <w:pPr>
              <w:pStyle w:val="81"/>
              <w:jc w:val="center"/>
              <w:rPr>
                <w:rFonts w:hint="eastAsia" w:hAnsi="宋体" w:cs="宋体"/>
                <w:b/>
                <w:color w:val="auto"/>
                <w:sz w:val="24"/>
                <w:highlight w:val="none"/>
              </w:rPr>
            </w:pPr>
            <w:r>
              <w:rPr>
                <w:rFonts w:hint="eastAsia" w:hAnsi="宋体" w:cs="宋体"/>
                <w:b/>
                <w:color w:val="auto"/>
                <w:sz w:val="24"/>
                <w:highlight w:val="none"/>
              </w:rPr>
              <w:t>投标承诺</w:t>
            </w:r>
          </w:p>
        </w:tc>
        <w:tc>
          <w:tcPr>
            <w:tcW w:w="1270" w:type="dxa"/>
            <w:vAlign w:val="center"/>
          </w:tcPr>
          <w:p w14:paraId="4A0BC8F1">
            <w:pPr>
              <w:pStyle w:val="81"/>
              <w:jc w:val="center"/>
              <w:rPr>
                <w:rFonts w:hint="eastAsia" w:hAnsi="宋体" w:cs="宋体"/>
                <w:b/>
                <w:color w:val="auto"/>
                <w:sz w:val="24"/>
                <w:highlight w:val="none"/>
              </w:rPr>
            </w:pPr>
            <w:r>
              <w:rPr>
                <w:rFonts w:hint="eastAsia" w:hAnsi="宋体" w:cs="宋体"/>
                <w:b/>
                <w:color w:val="auto"/>
                <w:sz w:val="24"/>
                <w:highlight w:val="none"/>
              </w:rPr>
              <w:t>偏离说明</w:t>
            </w:r>
          </w:p>
        </w:tc>
      </w:tr>
      <w:tr w14:paraId="48BE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871" w:type="dxa"/>
            <w:vAlign w:val="center"/>
          </w:tcPr>
          <w:p w14:paraId="4FF8D6AC">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525" w:type="dxa"/>
            <w:vAlign w:val="center"/>
          </w:tcPr>
          <w:p w14:paraId="18506C0A">
            <w:pPr>
              <w:jc w:val="center"/>
              <w:rPr>
                <w:rFonts w:hint="eastAsia" w:ascii="宋体" w:hAnsi="宋体" w:cs="宋体"/>
                <w:color w:val="auto"/>
                <w:sz w:val="24"/>
                <w:highlight w:val="none"/>
              </w:rPr>
            </w:pPr>
            <w:r>
              <w:rPr>
                <w:rFonts w:hint="eastAsia" w:ascii="宋体" w:hAnsi="宋体" w:cs="宋体"/>
                <w:color w:val="auto"/>
                <w:sz w:val="24"/>
                <w:highlight w:val="none"/>
              </w:rPr>
              <w:t>服务期</w:t>
            </w:r>
          </w:p>
        </w:tc>
        <w:tc>
          <w:tcPr>
            <w:tcW w:w="2616" w:type="dxa"/>
          </w:tcPr>
          <w:p w14:paraId="604D7028">
            <w:pPr>
              <w:rPr>
                <w:rFonts w:hint="eastAsia" w:ascii="宋体" w:hAnsi="宋体" w:cs="宋体"/>
                <w:color w:val="auto"/>
                <w:sz w:val="24"/>
                <w:highlight w:val="none"/>
              </w:rPr>
            </w:pPr>
          </w:p>
        </w:tc>
        <w:tc>
          <w:tcPr>
            <w:tcW w:w="2397" w:type="dxa"/>
          </w:tcPr>
          <w:p w14:paraId="15D49509">
            <w:pPr>
              <w:rPr>
                <w:rFonts w:hint="eastAsia" w:ascii="宋体" w:hAnsi="宋体" w:cs="宋体"/>
                <w:color w:val="auto"/>
                <w:sz w:val="24"/>
                <w:highlight w:val="none"/>
              </w:rPr>
            </w:pPr>
          </w:p>
        </w:tc>
        <w:tc>
          <w:tcPr>
            <w:tcW w:w="1270" w:type="dxa"/>
          </w:tcPr>
          <w:p w14:paraId="17664055">
            <w:pPr>
              <w:rPr>
                <w:rFonts w:hint="eastAsia" w:ascii="宋体" w:hAnsi="宋体" w:cs="宋体"/>
                <w:color w:val="auto"/>
                <w:sz w:val="24"/>
                <w:highlight w:val="none"/>
              </w:rPr>
            </w:pPr>
          </w:p>
        </w:tc>
      </w:tr>
      <w:tr w14:paraId="6965C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871" w:type="dxa"/>
            <w:vAlign w:val="center"/>
          </w:tcPr>
          <w:p w14:paraId="558C0FB9">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525" w:type="dxa"/>
            <w:vAlign w:val="center"/>
          </w:tcPr>
          <w:p w14:paraId="79440A9D">
            <w:pPr>
              <w:rPr>
                <w:rFonts w:hint="eastAsia" w:ascii="宋体" w:hAnsi="宋体" w:cs="宋体"/>
                <w:color w:val="auto"/>
                <w:sz w:val="24"/>
                <w:highlight w:val="none"/>
              </w:rPr>
            </w:pPr>
            <w:r>
              <w:rPr>
                <w:rFonts w:hint="eastAsia" w:ascii="宋体" w:hAnsi="宋体" w:cs="宋体"/>
                <w:color w:val="auto"/>
                <w:sz w:val="24"/>
                <w:highlight w:val="none"/>
              </w:rPr>
              <w:t>付款响应</w:t>
            </w:r>
          </w:p>
        </w:tc>
        <w:tc>
          <w:tcPr>
            <w:tcW w:w="2616" w:type="dxa"/>
          </w:tcPr>
          <w:p w14:paraId="42582424">
            <w:pPr>
              <w:rPr>
                <w:rFonts w:hint="eastAsia" w:ascii="宋体" w:hAnsi="宋体" w:cs="宋体"/>
                <w:color w:val="auto"/>
                <w:sz w:val="24"/>
                <w:highlight w:val="none"/>
              </w:rPr>
            </w:pPr>
          </w:p>
        </w:tc>
        <w:tc>
          <w:tcPr>
            <w:tcW w:w="2397" w:type="dxa"/>
          </w:tcPr>
          <w:p w14:paraId="4A6F63B3">
            <w:pPr>
              <w:rPr>
                <w:rFonts w:hint="eastAsia" w:ascii="宋体" w:hAnsi="宋体" w:cs="宋体"/>
                <w:color w:val="auto"/>
                <w:sz w:val="24"/>
                <w:highlight w:val="none"/>
              </w:rPr>
            </w:pPr>
          </w:p>
        </w:tc>
        <w:tc>
          <w:tcPr>
            <w:tcW w:w="1270" w:type="dxa"/>
          </w:tcPr>
          <w:p w14:paraId="2E50B613">
            <w:pPr>
              <w:rPr>
                <w:rFonts w:hint="eastAsia" w:ascii="宋体" w:hAnsi="宋体" w:cs="宋体"/>
                <w:color w:val="auto"/>
                <w:sz w:val="24"/>
                <w:highlight w:val="none"/>
              </w:rPr>
            </w:pPr>
          </w:p>
        </w:tc>
      </w:tr>
      <w:tr w14:paraId="2E158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871" w:type="dxa"/>
            <w:vAlign w:val="center"/>
          </w:tcPr>
          <w:p w14:paraId="01989F9D">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525" w:type="dxa"/>
            <w:vAlign w:val="center"/>
          </w:tcPr>
          <w:p w14:paraId="57300035">
            <w:pPr>
              <w:jc w:val="center"/>
              <w:rPr>
                <w:rFonts w:hint="eastAsia" w:ascii="宋体" w:hAnsi="宋体" w:cs="宋体"/>
                <w:color w:val="auto"/>
                <w:sz w:val="24"/>
                <w:highlight w:val="none"/>
              </w:rPr>
            </w:pPr>
            <w:r>
              <w:rPr>
                <w:rFonts w:hint="eastAsia" w:ascii="宋体" w:hAnsi="宋体" w:cs="宋体"/>
                <w:color w:val="auto"/>
                <w:sz w:val="24"/>
                <w:highlight w:val="none"/>
              </w:rPr>
              <w:t>业绩</w:t>
            </w:r>
          </w:p>
        </w:tc>
        <w:tc>
          <w:tcPr>
            <w:tcW w:w="2616" w:type="dxa"/>
          </w:tcPr>
          <w:p w14:paraId="6784D79B">
            <w:pPr>
              <w:rPr>
                <w:rFonts w:hint="eastAsia" w:ascii="宋体" w:hAnsi="宋体" w:cs="宋体"/>
                <w:color w:val="auto"/>
                <w:sz w:val="24"/>
                <w:highlight w:val="none"/>
              </w:rPr>
            </w:pPr>
          </w:p>
        </w:tc>
        <w:tc>
          <w:tcPr>
            <w:tcW w:w="2397" w:type="dxa"/>
          </w:tcPr>
          <w:p w14:paraId="6E503F41">
            <w:pPr>
              <w:rPr>
                <w:rFonts w:hint="eastAsia" w:ascii="宋体" w:hAnsi="宋体" w:cs="宋体"/>
                <w:color w:val="auto"/>
                <w:sz w:val="24"/>
                <w:highlight w:val="none"/>
              </w:rPr>
            </w:pPr>
          </w:p>
        </w:tc>
        <w:tc>
          <w:tcPr>
            <w:tcW w:w="1270" w:type="dxa"/>
          </w:tcPr>
          <w:p w14:paraId="17979AAD">
            <w:pPr>
              <w:rPr>
                <w:rFonts w:hint="eastAsia" w:ascii="宋体" w:hAnsi="宋体" w:cs="宋体"/>
                <w:color w:val="auto"/>
                <w:sz w:val="24"/>
                <w:highlight w:val="none"/>
              </w:rPr>
            </w:pPr>
          </w:p>
        </w:tc>
      </w:tr>
      <w:tr w14:paraId="421D0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871" w:type="dxa"/>
            <w:vAlign w:val="center"/>
          </w:tcPr>
          <w:p w14:paraId="0C0012D0">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525" w:type="dxa"/>
            <w:vAlign w:val="center"/>
          </w:tcPr>
          <w:p w14:paraId="79DE60F1">
            <w:pPr>
              <w:jc w:val="center"/>
              <w:rPr>
                <w:rFonts w:hint="eastAsia" w:ascii="宋体" w:hAnsi="宋体" w:cs="宋体"/>
                <w:color w:val="auto"/>
                <w:sz w:val="24"/>
                <w:highlight w:val="none"/>
              </w:rPr>
            </w:pPr>
            <w:r>
              <w:rPr>
                <w:rFonts w:hint="eastAsia" w:ascii="宋体" w:hAnsi="宋体" w:cs="宋体"/>
                <w:color w:val="auto"/>
                <w:sz w:val="24"/>
                <w:highlight w:val="none"/>
              </w:rPr>
              <w:t>其他</w:t>
            </w:r>
          </w:p>
        </w:tc>
        <w:tc>
          <w:tcPr>
            <w:tcW w:w="2616" w:type="dxa"/>
          </w:tcPr>
          <w:p w14:paraId="633A0445">
            <w:pPr>
              <w:rPr>
                <w:rFonts w:hint="eastAsia" w:ascii="宋体" w:hAnsi="宋体" w:cs="宋体"/>
                <w:color w:val="auto"/>
                <w:sz w:val="24"/>
                <w:highlight w:val="none"/>
              </w:rPr>
            </w:pPr>
          </w:p>
        </w:tc>
        <w:tc>
          <w:tcPr>
            <w:tcW w:w="2397" w:type="dxa"/>
          </w:tcPr>
          <w:p w14:paraId="43C2BBAF">
            <w:pPr>
              <w:rPr>
                <w:rFonts w:hint="eastAsia" w:ascii="宋体" w:hAnsi="宋体" w:cs="宋体"/>
                <w:color w:val="auto"/>
                <w:sz w:val="24"/>
                <w:highlight w:val="none"/>
              </w:rPr>
            </w:pPr>
          </w:p>
        </w:tc>
        <w:tc>
          <w:tcPr>
            <w:tcW w:w="1270" w:type="dxa"/>
          </w:tcPr>
          <w:p w14:paraId="20A702A4">
            <w:pPr>
              <w:rPr>
                <w:rFonts w:hint="eastAsia" w:ascii="宋体" w:hAnsi="宋体" w:cs="宋体"/>
                <w:color w:val="auto"/>
                <w:sz w:val="24"/>
                <w:highlight w:val="none"/>
              </w:rPr>
            </w:pPr>
          </w:p>
        </w:tc>
      </w:tr>
      <w:tr w14:paraId="1323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871" w:type="dxa"/>
            <w:vAlign w:val="center"/>
          </w:tcPr>
          <w:p w14:paraId="6FA6F1C5">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1525" w:type="dxa"/>
            <w:vAlign w:val="center"/>
          </w:tcPr>
          <w:p w14:paraId="72960847">
            <w:pPr>
              <w:jc w:val="center"/>
              <w:rPr>
                <w:rFonts w:hint="eastAsia" w:ascii="宋体" w:hAnsi="宋体" w:cs="宋体"/>
                <w:color w:val="auto"/>
                <w:sz w:val="24"/>
                <w:highlight w:val="none"/>
              </w:rPr>
            </w:pPr>
          </w:p>
        </w:tc>
        <w:tc>
          <w:tcPr>
            <w:tcW w:w="2616" w:type="dxa"/>
          </w:tcPr>
          <w:p w14:paraId="00C8736C">
            <w:pPr>
              <w:rPr>
                <w:rFonts w:hint="eastAsia" w:ascii="宋体" w:hAnsi="宋体" w:cs="宋体"/>
                <w:color w:val="auto"/>
                <w:sz w:val="24"/>
                <w:highlight w:val="none"/>
              </w:rPr>
            </w:pPr>
          </w:p>
        </w:tc>
        <w:tc>
          <w:tcPr>
            <w:tcW w:w="2397" w:type="dxa"/>
          </w:tcPr>
          <w:p w14:paraId="2500B1CE">
            <w:pPr>
              <w:rPr>
                <w:rFonts w:hint="eastAsia" w:ascii="宋体" w:hAnsi="宋体" w:cs="宋体"/>
                <w:color w:val="auto"/>
                <w:sz w:val="24"/>
                <w:highlight w:val="none"/>
              </w:rPr>
            </w:pPr>
          </w:p>
        </w:tc>
        <w:tc>
          <w:tcPr>
            <w:tcW w:w="1270" w:type="dxa"/>
          </w:tcPr>
          <w:p w14:paraId="26B1EED3">
            <w:pPr>
              <w:rPr>
                <w:rFonts w:hint="eastAsia" w:ascii="宋体" w:hAnsi="宋体" w:cs="宋体"/>
                <w:color w:val="auto"/>
                <w:sz w:val="24"/>
                <w:highlight w:val="none"/>
              </w:rPr>
            </w:pPr>
          </w:p>
        </w:tc>
      </w:tr>
    </w:tbl>
    <w:p w14:paraId="26FA705B">
      <w:pPr>
        <w:spacing w:line="380" w:lineRule="exact"/>
        <w:jc w:val="left"/>
        <w:rPr>
          <w:rFonts w:hint="eastAsia" w:ascii="宋体" w:hAnsi="宋体" w:cs="宋体"/>
          <w:color w:val="auto"/>
          <w:sz w:val="24"/>
          <w:highlight w:val="none"/>
        </w:rPr>
      </w:pPr>
      <w:r>
        <w:rPr>
          <w:rFonts w:hint="eastAsia" w:ascii="宋体" w:hAnsi="宋体" w:cs="宋体"/>
          <w:color w:val="auto"/>
          <w:sz w:val="24"/>
          <w:highlight w:val="none"/>
          <w:lang w:eastAsia="zh-CN"/>
        </w:rPr>
        <w:t>投标人</w:t>
      </w:r>
      <w:r>
        <w:rPr>
          <w:rFonts w:hint="eastAsia" w:ascii="宋体" w:hAnsi="宋体" w:cs="宋体"/>
          <w:color w:val="auto"/>
          <w:sz w:val="24"/>
          <w:highlight w:val="none"/>
        </w:rPr>
        <w:t>名称：（电子公章）</w:t>
      </w:r>
    </w:p>
    <w:p w14:paraId="70B50B8D">
      <w:pPr>
        <w:spacing w:line="380" w:lineRule="exact"/>
        <w:ind w:right="640"/>
        <w:rPr>
          <w:rFonts w:hint="eastAsia" w:ascii="宋体" w:hAnsi="宋体" w:cs="宋体"/>
          <w:color w:val="auto"/>
          <w:sz w:val="24"/>
          <w:highlight w:val="none"/>
        </w:rPr>
      </w:pPr>
      <w:r>
        <w:rPr>
          <w:rFonts w:hint="eastAsia" w:ascii="宋体" w:hAnsi="宋体" w:cs="宋体"/>
          <w:color w:val="auto"/>
          <w:sz w:val="24"/>
          <w:highlight w:val="none"/>
        </w:rPr>
        <w:t>法定代表人或负责人：（签字）</w:t>
      </w:r>
    </w:p>
    <w:p w14:paraId="6C891EC6">
      <w:pPr>
        <w:jc w:val="right"/>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636E8A30">
      <w:pPr>
        <w:keepNext w:val="0"/>
        <w:keepLines w:val="0"/>
        <w:pageBreakBefore w:val="0"/>
        <w:widowControl w:val="0"/>
        <w:kinsoku/>
        <w:wordWrap/>
        <w:overflowPunct/>
        <w:topLinePunct w:val="0"/>
        <w:autoSpaceDE/>
        <w:autoSpaceDN/>
        <w:bidi w:val="0"/>
        <w:adjustRightInd w:val="0"/>
        <w:snapToGrid w:val="0"/>
        <w:spacing w:after="0" w:line="0" w:lineRule="atLeast"/>
        <w:textAlignment w:val="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22B841CF">
      <w:pPr>
        <w:keepNext w:val="0"/>
        <w:keepLines w:val="0"/>
        <w:pageBreakBefore w:val="0"/>
        <w:widowControl w:val="0"/>
        <w:kinsoku/>
        <w:wordWrap/>
        <w:overflowPunct/>
        <w:topLinePunct w:val="0"/>
        <w:autoSpaceDE/>
        <w:autoSpaceDN/>
        <w:bidi w:val="0"/>
        <w:adjustRightInd w:val="0"/>
        <w:snapToGrid w:val="0"/>
        <w:spacing w:after="0" w:line="0" w:lineRule="atLeast"/>
        <w:textAlignment w:val="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1、投标人必须逐项对应描述投标服务要求，如不进行描述，仅在响应栏填“响应”或未填写的，将可能导致投标无效；</w:t>
      </w:r>
    </w:p>
    <w:p w14:paraId="11C16B08">
      <w:pPr>
        <w:keepNext w:val="0"/>
        <w:keepLines w:val="0"/>
        <w:pageBreakBefore w:val="0"/>
        <w:widowControl w:val="0"/>
        <w:kinsoku/>
        <w:wordWrap/>
        <w:overflowPunct/>
        <w:topLinePunct w:val="0"/>
        <w:autoSpaceDE/>
        <w:autoSpaceDN/>
        <w:bidi w:val="0"/>
        <w:adjustRightInd w:val="0"/>
        <w:snapToGrid w:val="0"/>
        <w:spacing w:after="0" w:line="0" w:lineRule="atLeast"/>
        <w:textAlignment w:val="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2、投标人所投服务如与招标文件要求不一致，则须在上表偏离说明中详细注明。</w:t>
      </w:r>
    </w:p>
    <w:p w14:paraId="4433DAA9">
      <w:pPr>
        <w:keepNext w:val="0"/>
        <w:keepLines w:val="0"/>
        <w:pageBreakBefore w:val="0"/>
        <w:widowControl w:val="0"/>
        <w:kinsoku/>
        <w:wordWrap/>
        <w:overflowPunct/>
        <w:topLinePunct w:val="0"/>
        <w:autoSpaceDE/>
        <w:autoSpaceDN/>
        <w:bidi w:val="0"/>
        <w:adjustRightInd w:val="0"/>
        <w:snapToGrid w:val="0"/>
        <w:spacing w:after="0" w:line="0" w:lineRule="atLeast"/>
        <w:textAlignment w:val="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3、响应部分可后附详细说明及技术资料，并应注明投标文件中对应的页码范围。</w:t>
      </w:r>
    </w:p>
    <w:p w14:paraId="14586D8C">
      <w:pPr>
        <w:keepNext w:val="0"/>
        <w:keepLines w:val="0"/>
        <w:pageBreakBefore w:val="0"/>
        <w:widowControl w:val="0"/>
        <w:kinsoku/>
        <w:wordWrap/>
        <w:overflowPunct/>
        <w:topLinePunct w:val="0"/>
        <w:autoSpaceDE/>
        <w:autoSpaceDN/>
        <w:bidi w:val="0"/>
        <w:adjustRightInd w:val="0"/>
        <w:snapToGrid w:val="0"/>
        <w:spacing w:after="0" w:line="0" w:lineRule="atLeast"/>
        <w:textAlignment w:val="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4、按照要求提供相关证明材料，否则将可能导致负偏离或投标无效。</w:t>
      </w:r>
    </w:p>
    <w:p w14:paraId="1F6F59C5">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5、偏离是指正偏离、无偏离、负偏离。</w:t>
      </w:r>
    </w:p>
    <w:p w14:paraId="0DD3A01A">
      <w:pPr>
        <w:pStyle w:val="41"/>
        <w:rPr>
          <w:color w:val="auto"/>
          <w:highlight w:val="none"/>
        </w:rPr>
      </w:pPr>
    </w:p>
    <w:p w14:paraId="0AB1CE81">
      <w:pPr>
        <w:pStyle w:val="30"/>
        <w:rPr>
          <w:rFonts w:hint="eastAsia" w:ascii="宋体" w:hAnsi="宋体" w:cs="宋体"/>
          <w:color w:val="auto"/>
          <w:highlight w:val="none"/>
        </w:rPr>
      </w:pPr>
    </w:p>
    <w:p w14:paraId="5724BC8B">
      <w:pPr>
        <w:pStyle w:val="30"/>
        <w:rPr>
          <w:rFonts w:hint="eastAsia" w:ascii="宋体" w:hAnsi="宋体" w:cs="宋体"/>
          <w:color w:val="auto"/>
          <w:highlight w:val="none"/>
        </w:rPr>
      </w:pPr>
    </w:p>
    <w:p w14:paraId="376203C7">
      <w:pPr>
        <w:pStyle w:val="30"/>
        <w:rPr>
          <w:rFonts w:hint="eastAsia" w:ascii="宋体" w:hAnsi="宋体" w:cs="宋体"/>
          <w:color w:val="auto"/>
          <w:highlight w:val="none"/>
        </w:rPr>
      </w:pPr>
    </w:p>
    <w:p w14:paraId="4637B69E">
      <w:pPr>
        <w:pStyle w:val="5"/>
        <w:jc w:val="center"/>
        <w:rPr>
          <w:color w:val="auto"/>
          <w:highlight w:val="none"/>
        </w:rPr>
      </w:pPr>
      <w:r>
        <w:rPr>
          <w:rFonts w:hint="eastAsia"/>
          <w:color w:val="auto"/>
          <w:highlight w:val="none"/>
        </w:rPr>
        <w:t>六．服务质量承诺</w:t>
      </w:r>
    </w:p>
    <w:p w14:paraId="6265B69E">
      <w:pPr>
        <w:spacing w:before="48" w:beforeLines="20" w:after="48" w:afterLines="20"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731BC8D3">
      <w:pPr>
        <w:spacing w:before="48" w:beforeLines="20" w:after="48" w:afterLines="20" w:line="360" w:lineRule="auto"/>
        <w:rPr>
          <w:rFonts w:hint="eastAsia" w:ascii="宋体" w:hAnsi="宋体" w:cs="宋体"/>
          <w:color w:val="auto"/>
          <w:sz w:val="28"/>
          <w:highlight w:val="none"/>
        </w:rPr>
      </w:pPr>
    </w:p>
    <w:p w14:paraId="0BF44968">
      <w:pPr>
        <w:pStyle w:val="30"/>
        <w:rPr>
          <w:rFonts w:hint="eastAsia" w:ascii="宋体" w:hAnsi="宋体" w:cs="宋体"/>
          <w:color w:val="auto"/>
          <w:highlight w:val="none"/>
        </w:rPr>
      </w:pPr>
    </w:p>
    <w:p w14:paraId="35B0CCE9">
      <w:pPr>
        <w:pStyle w:val="30"/>
        <w:rPr>
          <w:rFonts w:hint="eastAsia" w:ascii="宋体" w:hAnsi="宋体" w:cs="宋体"/>
          <w:color w:val="auto"/>
          <w:highlight w:val="none"/>
        </w:rPr>
      </w:pPr>
    </w:p>
    <w:p w14:paraId="5AB1CDFA">
      <w:pPr>
        <w:pStyle w:val="30"/>
        <w:rPr>
          <w:rFonts w:hint="eastAsia" w:ascii="宋体" w:hAnsi="宋体" w:cs="宋体"/>
          <w:color w:val="auto"/>
          <w:highlight w:val="none"/>
        </w:rPr>
      </w:pPr>
    </w:p>
    <w:p w14:paraId="7237C6A9">
      <w:pPr>
        <w:pStyle w:val="30"/>
        <w:rPr>
          <w:rFonts w:hint="eastAsia" w:ascii="宋体" w:hAnsi="宋体" w:cs="宋体"/>
          <w:color w:val="auto"/>
          <w:highlight w:val="none"/>
        </w:rPr>
      </w:pPr>
    </w:p>
    <w:p w14:paraId="60CD2F3D">
      <w:pPr>
        <w:pStyle w:val="30"/>
        <w:rPr>
          <w:rFonts w:hint="eastAsia" w:ascii="宋体" w:hAnsi="宋体" w:cs="宋体"/>
          <w:color w:val="auto"/>
          <w:highlight w:val="none"/>
        </w:rPr>
      </w:pPr>
    </w:p>
    <w:p w14:paraId="3A9A1C17">
      <w:pPr>
        <w:pStyle w:val="30"/>
        <w:rPr>
          <w:rFonts w:hint="eastAsia" w:ascii="宋体" w:hAnsi="宋体" w:cs="宋体"/>
          <w:color w:val="auto"/>
          <w:highlight w:val="none"/>
        </w:rPr>
      </w:pPr>
    </w:p>
    <w:p w14:paraId="45346B88">
      <w:pPr>
        <w:pStyle w:val="30"/>
        <w:rPr>
          <w:rFonts w:hint="eastAsia" w:ascii="宋体" w:hAnsi="宋体" w:cs="宋体"/>
          <w:color w:val="auto"/>
          <w:highlight w:val="none"/>
        </w:rPr>
      </w:pPr>
    </w:p>
    <w:p w14:paraId="070E1DB2">
      <w:pPr>
        <w:pStyle w:val="30"/>
        <w:rPr>
          <w:rFonts w:hint="eastAsia" w:ascii="宋体" w:hAnsi="宋体" w:cs="宋体"/>
          <w:color w:val="auto"/>
          <w:highlight w:val="none"/>
        </w:rPr>
      </w:pPr>
    </w:p>
    <w:p w14:paraId="4395EE9C">
      <w:pPr>
        <w:pStyle w:val="30"/>
        <w:rPr>
          <w:rFonts w:hint="eastAsia" w:ascii="宋体" w:hAnsi="宋体" w:cs="宋体"/>
          <w:color w:val="auto"/>
          <w:highlight w:val="none"/>
        </w:rPr>
      </w:pPr>
    </w:p>
    <w:p w14:paraId="69EFB24F">
      <w:pPr>
        <w:pStyle w:val="30"/>
        <w:rPr>
          <w:rFonts w:hint="eastAsia" w:ascii="宋体" w:hAnsi="宋体" w:cs="宋体"/>
          <w:color w:val="auto"/>
          <w:highlight w:val="none"/>
        </w:rPr>
      </w:pPr>
    </w:p>
    <w:p w14:paraId="2B986029">
      <w:pPr>
        <w:pStyle w:val="30"/>
        <w:rPr>
          <w:rFonts w:hint="eastAsia" w:ascii="宋体" w:hAnsi="宋体" w:cs="宋体"/>
          <w:color w:val="auto"/>
          <w:highlight w:val="none"/>
        </w:rPr>
      </w:pPr>
    </w:p>
    <w:p w14:paraId="0FADC81C">
      <w:pPr>
        <w:pStyle w:val="30"/>
        <w:rPr>
          <w:rFonts w:hint="eastAsia" w:ascii="宋体" w:hAnsi="宋体" w:cs="宋体"/>
          <w:color w:val="auto"/>
          <w:highlight w:val="none"/>
        </w:rPr>
      </w:pPr>
    </w:p>
    <w:p w14:paraId="18E28B07">
      <w:pPr>
        <w:pStyle w:val="30"/>
        <w:rPr>
          <w:rFonts w:hint="eastAsia" w:ascii="宋体" w:hAnsi="宋体" w:cs="宋体"/>
          <w:color w:val="auto"/>
          <w:highlight w:val="none"/>
        </w:rPr>
      </w:pPr>
    </w:p>
    <w:p w14:paraId="45FC4F81">
      <w:pPr>
        <w:pStyle w:val="30"/>
        <w:rPr>
          <w:rFonts w:hint="eastAsia" w:ascii="宋体" w:hAnsi="宋体" w:cs="宋体"/>
          <w:color w:val="auto"/>
          <w:highlight w:val="none"/>
        </w:rPr>
      </w:pPr>
    </w:p>
    <w:p w14:paraId="7B82D809">
      <w:pPr>
        <w:pStyle w:val="30"/>
        <w:rPr>
          <w:rFonts w:hint="eastAsia" w:ascii="宋体" w:hAnsi="宋体" w:cs="宋体"/>
          <w:color w:val="auto"/>
          <w:highlight w:val="none"/>
        </w:rPr>
      </w:pPr>
    </w:p>
    <w:p w14:paraId="65A6B8BE">
      <w:pPr>
        <w:pStyle w:val="30"/>
        <w:rPr>
          <w:rFonts w:hint="eastAsia" w:ascii="宋体" w:hAnsi="宋体" w:cs="宋体"/>
          <w:color w:val="auto"/>
          <w:highlight w:val="none"/>
        </w:rPr>
      </w:pPr>
    </w:p>
    <w:p w14:paraId="480A4B62">
      <w:pPr>
        <w:pStyle w:val="30"/>
        <w:rPr>
          <w:rFonts w:hint="eastAsia" w:ascii="宋体" w:hAnsi="宋体" w:cs="宋体"/>
          <w:color w:val="auto"/>
          <w:highlight w:val="none"/>
        </w:rPr>
      </w:pPr>
    </w:p>
    <w:p w14:paraId="4DFAB9D4">
      <w:pPr>
        <w:pStyle w:val="30"/>
        <w:rPr>
          <w:rFonts w:hint="eastAsia" w:ascii="宋体" w:hAnsi="宋体" w:cs="宋体"/>
          <w:color w:val="auto"/>
          <w:highlight w:val="none"/>
        </w:rPr>
      </w:pPr>
    </w:p>
    <w:p w14:paraId="26B7E1F1">
      <w:pPr>
        <w:pStyle w:val="30"/>
        <w:rPr>
          <w:rFonts w:hint="eastAsia" w:ascii="宋体" w:hAnsi="宋体" w:cs="宋体"/>
          <w:color w:val="auto"/>
          <w:highlight w:val="none"/>
        </w:rPr>
      </w:pPr>
    </w:p>
    <w:p w14:paraId="7763B1EA">
      <w:pPr>
        <w:pStyle w:val="5"/>
        <w:pageBreakBefore/>
        <w:jc w:val="center"/>
        <w:rPr>
          <w:color w:val="auto"/>
          <w:highlight w:val="none"/>
        </w:rPr>
      </w:pPr>
      <w:r>
        <w:rPr>
          <w:rFonts w:hint="eastAsia"/>
          <w:color w:val="auto"/>
          <w:highlight w:val="none"/>
        </w:rPr>
        <w:t>七．有关证明文件</w:t>
      </w:r>
    </w:p>
    <w:p w14:paraId="46AD5645">
      <w:pPr>
        <w:tabs>
          <w:tab w:val="left" w:pos="462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提供符合投标邀请（招标公告）、需求一览表及评标办法规定的相关证明文件。</w:t>
      </w:r>
    </w:p>
    <w:p w14:paraId="02D35D14">
      <w:pPr>
        <w:rPr>
          <w:color w:val="auto"/>
          <w:highlight w:val="none"/>
        </w:rPr>
      </w:pPr>
    </w:p>
    <w:p w14:paraId="01A66ABD">
      <w:pPr>
        <w:tabs>
          <w:tab w:val="left" w:pos="4620"/>
        </w:tabs>
        <w:spacing w:line="360" w:lineRule="auto"/>
        <w:ind w:firstLine="480" w:firstLineChars="200"/>
        <w:rPr>
          <w:rFonts w:hint="eastAsia" w:ascii="宋体" w:hAnsi="宋体" w:cs="宋体"/>
          <w:color w:val="auto"/>
          <w:sz w:val="24"/>
          <w:highlight w:val="none"/>
        </w:rPr>
      </w:pPr>
    </w:p>
    <w:p w14:paraId="6859770D">
      <w:pPr>
        <w:tabs>
          <w:tab w:val="left" w:pos="4620"/>
        </w:tabs>
        <w:spacing w:line="360" w:lineRule="auto"/>
        <w:ind w:firstLine="480" w:firstLineChars="200"/>
        <w:rPr>
          <w:rFonts w:hint="eastAsia" w:ascii="宋体" w:hAnsi="宋体" w:cs="宋体"/>
          <w:color w:val="auto"/>
          <w:sz w:val="24"/>
          <w:highlight w:val="none"/>
        </w:rPr>
      </w:pPr>
    </w:p>
    <w:p w14:paraId="4B392CDF">
      <w:pPr>
        <w:tabs>
          <w:tab w:val="left" w:pos="4620"/>
        </w:tabs>
        <w:spacing w:line="360" w:lineRule="auto"/>
        <w:ind w:firstLine="480" w:firstLineChars="200"/>
        <w:rPr>
          <w:rFonts w:hint="eastAsia" w:ascii="宋体" w:hAnsi="宋体" w:cs="宋体"/>
          <w:color w:val="auto"/>
          <w:sz w:val="24"/>
          <w:highlight w:val="none"/>
        </w:rPr>
      </w:pPr>
    </w:p>
    <w:p w14:paraId="6B7B371C">
      <w:pPr>
        <w:tabs>
          <w:tab w:val="left" w:pos="4620"/>
        </w:tabs>
        <w:spacing w:line="360" w:lineRule="auto"/>
        <w:ind w:firstLine="480" w:firstLineChars="200"/>
        <w:rPr>
          <w:rFonts w:hint="eastAsia" w:ascii="宋体" w:hAnsi="宋体" w:cs="宋体"/>
          <w:color w:val="auto"/>
          <w:sz w:val="24"/>
          <w:highlight w:val="none"/>
        </w:rPr>
      </w:pPr>
    </w:p>
    <w:p w14:paraId="70FE0DAD">
      <w:pPr>
        <w:tabs>
          <w:tab w:val="left" w:pos="4620"/>
        </w:tabs>
        <w:spacing w:line="360" w:lineRule="auto"/>
        <w:ind w:firstLine="480" w:firstLineChars="200"/>
        <w:rPr>
          <w:rFonts w:hint="eastAsia" w:ascii="宋体" w:hAnsi="宋体" w:cs="宋体"/>
          <w:color w:val="auto"/>
          <w:sz w:val="24"/>
          <w:highlight w:val="none"/>
        </w:rPr>
      </w:pPr>
    </w:p>
    <w:p w14:paraId="5D5FA440">
      <w:pPr>
        <w:tabs>
          <w:tab w:val="left" w:pos="4620"/>
        </w:tabs>
        <w:spacing w:line="360" w:lineRule="auto"/>
        <w:ind w:firstLine="480" w:firstLineChars="200"/>
        <w:rPr>
          <w:rFonts w:hint="eastAsia" w:ascii="宋体" w:hAnsi="宋体" w:cs="宋体"/>
          <w:color w:val="auto"/>
          <w:sz w:val="24"/>
          <w:highlight w:val="none"/>
        </w:rPr>
      </w:pPr>
    </w:p>
    <w:p w14:paraId="392D1593">
      <w:pPr>
        <w:tabs>
          <w:tab w:val="left" w:pos="4620"/>
        </w:tabs>
        <w:spacing w:line="360" w:lineRule="auto"/>
        <w:ind w:firstLine="480" w:firstLineChars="200"/>
        <w:rPr>
          <w:rFonts w:hint="eastAsia" w:ascii="宋体" w:hAnsi="宋体" w:cs="宋体"/>
          <w:color w:val="auto"/>
          <w:sz w:val="24"/>
          <w:highlight w:val="none"/>
        </w:rPr>
      </w:pPr>
    </w:p>
    <w:p w14:paraId="11A17894">
      <w:pPr>
        <w:tabs>
          <w:tab w:val="left" w:pos="4620"/>
        </w:tabs>
        <w:spacing w:line="360" w:lineRule="auto"/>
        <w:ind w:firstLine="480" w:firstLineChars="200"/>
        <w:rPr>
          <w:rFonts w:hint="eastAsia" w:ascii="宋体" w:hAnsi="宋体" w:cs="宋体"/>
          <w:color w:val="auto"/>
          <w:sz w:val="24"/>
          <w:highlight w:val="none"/>
        </w:rPr>
      </w:pPr>
    </w:p>
    <w:p w14:paraId="7A9B86E0">
      <w:pPr>
        <w:tabs>
          <w:tab w:val="left" w:pos="4620"/>
        </w:tabs>
        <w:spacing w:line="360" w:lineRule="auto"/>
        <w:ind w:firstLine="480" w:firstLineChars="200"/>
        <w:rPr>
          <w:rFonts w:hint="eastAsia" w:ascii="宋体" w:hAnsi="宋体" w:cs="宋体"/>
          <w:color w:val="auto"/>
          <w:sz w:val="24"/>
          <w:highlight w:val="none"/>
        </w:rPr>
      </w:pPr>
    </w:p>
    <w:p w14:paraId="3B9239A9">
      <w:pPr>
        <w:tabs>
          <w:tab w:val="left" w:pos="4620"/>
        </w:tabs>
        <w:spacing w:line="360" w:lineRule="auto"/>
        <w:rPr>
          <w:rFonts w:hint="eastAsia" w:ascii="宋体" w:hAnsi="宋体" w:cs="宋体"/>
          <w:color w:val="auto"/>
          <w:sz w:val="24"/>
          <w:highlight w:val="none"/>
        </w:rPr>
      </w:pPr>
    </w:p>
    <w:p w14:paraId="73BACCA7">
      <w:pPr>
        <w:pageBreakBefore/>
        <w:tabs>
          <w:tab w:val="left" w:pos="4620"/>
        </w:tabs>
        <w:spacing w:line="360" w:lineRule="auto"/>
        <w:rPr>
          <w:rFonts w:hint="eastAsia" w:ascii="宋体" w:hAnsi="宋体" w:cs="宋体"/>
          <w:color w:val="auto"/>
          <w:sz w:val="24"/>
          <w:highlight w:val="none"/>
        </w:rPr>
      </w:pPr>
    </w:p>
    <w:p w14:paraId="604A0EB7">
      <w:pPr>
        <w:pStyle w:val="5"/>
        <w:numPr>
          <w:ilvl w:val="0"/>
          <w:numId w:val="23"/>
        </w:numPr>
        <w:jc w:val="center"/>
        <w:rPr>
          <w:color w:val="auto"/>
          <w:highlight w:val="none"/>
        </w:rPr>
      </w:pPr>
      <w:r>
        <w:rPr>
          <w:rFonts w:hint="eastAsia"/>
          <w:color w:val="auto"/>
          <w:highlight w:val="none"/>
        </w:rPr>
        <w:t>中小企业声明函（服务）</w:t>
      </w:r>
    </w:p>
    <w:p w14:paraId="142359A0">
      <w:pPr>
        <w:spacing w:line="360" w:lineRule="auto"/>
        <w:rPr>
          <w:b/>
          <w:bCs/>
          <w:color w:val="auto"/>
          <w:sz w:val="32"/>
          <w:szCs w:val="32"/>
          <w:highlight w:val="none"/>
        </w:rPr>
      </w:pPr>
    </w:p>
    <w:p w14:paraId="2B320C1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w:t>
      </w:r>
      <w:r>
        <w:rPr>
          <w:rFonts w:hint="eastAsia" w:ascii="宋体" w:hAnsi="宋体" w:cs="宋体"/>
          <w:color w:val="auto"/>
          <w:sz w:val="24"/>
          <w:highlight w:val="none"/>
          <w:u w:val="single"/>
        </w:rPr>
        <w:t>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3A07AF3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 xml:space="preserve">（中型企业、小型企业、微型企业）； </w:t>
      </w:r>
    </w:p>
    <w:p w14:paraId="53D8D1E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3FF9625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5D3F3C4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本企业对上述声明内容的真实性负责。如有虚假，将依法承担相应责任。 </w:t>
      </w:r>
    </w:p>
    <w:p w14:paraId="5DF8A6B1">
      <w:pPr>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企业名称（盖章）： </w:t>
      </w:r>
    </w:p>
    <w:p w14:paraId="271FBCE7">
      <w:pPr>
        <w:spacing w:line="360" w:lineRule="auto"/>
        <w:ind w:firstLine="4800" w:firstLineChars="2000"/>
        <w:rPr>
          <w:rFonts w:hint="eastAsia" w:ascii="宋体" w:hAnsi="宋体" w:cs="宋体"/>
          <w:color w:val="auto"/>
          <w:sz w:val="24"/>
          <w:highlight w:val="none"/>
        </w:rPr>
      </w:pPr>
      <w:r>
        <w:rPr>
          <w:rFonts w:hint="eastAsia" w:ascii="宋体" w:hAnsi="宋体" w:cs="宋体"/>
          <w:color w:val="auto"/>
          <w:sz w:val="24"/>
          <w:highlight w:val="none"/>
        </w:rPr>
        <w:t xml:space="preserve">日 期： </w:t>
      </w:r>
    </w:p>
    <w:p w14:paraId="10BEF8C7">
      <w:pPr>
        <w:pStyle w:val="14"/>
        <w:rPr>
          <w:color w:val="auto"/>
          <w:highlight w:val="none"/>
        </w:rPr>
      </w:pPr>
    </w:p>
    <w:p w14:paraId="095A9215">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72A2F469">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7087569B">
      <w:pPr>
        <w:spacing w:line="360" w:lineRule="auto"/>
        <w:rPr>
          <w:rFonts w:hint="eastAsia" w:ascii="宋体" w:hAnsi="宋体" w:cs="宋体"/>
          <w:color w:val="auto"/>
          <w:sz w:val="24"/>
          <w:szCs w:val="28"/>
          <w:highlight w:val="none"/>
        </w:rPr>
      </w:pPr>
    </w:p>
    <w:p w14:paraId="131258E5">
      <w:pPr>
        <w:rPr>
          <w:rFonts w:hint="eastAsia" w:ascii="宋体" w:hAnsi="宋体" w:cs="宋体"/>
          <w:color w:val="auto"/>
          <w:sz w:val="28"/>
          <w:szCs w:val="28"/>
          <w:highlight w:val="none"/>
        </w:rPr>
      </w:pPr>
    </w:p>
    <w:p w14:paraId="22FB34BE">
      <w:pPr>
        <w:rPr>
          <w:rFonts w:hint="eastAsia" w:ascii="宋体" w:hAnsi="宋体" w:cs="宋体"/>
          <w:color w:val="auto"/>
          <w:sz w:val="28"/>
          <w:szCs w:val="28"/>
          <w:highlight w:val="none"/>
        </w:rPr>
      </w:pPr>
    </w:p>
    <w:p w14:paraId="1A23227C">
      <w:pPr>
        <w:pStyle w:val="5"/>
        <w:jc w:val="center"/>
        <w:rPr>
          <w:color w:val="auto"/>
          <w:highlight w:val="none"/>
        </w:rPr>
      </w:pPr>
      <w:r>
        <w:rPr>
          <w:rFonts w:hint="eastAsia"/>
          <w:color w:val="auto"/>
          <w:highlight w:val="none"/>
        </w:rPr>
        <w:t>九．售后服务</w:t>
      </w:r>
    </w:p>
    <w:p w14:paraId="50EEB122">
      <w:pPr>
        <w:jc w:val="center"/>
        <w:rPr>
          <w:rFonts w:hint="eastAsia" w:ascii="宋体" w:hAnsi="宋体" w:cs="宋体"/>
          <w:color w:val="auto"/>
          <w:sz w:val="28"/>
          <w:highlight w:val="none"/>
        </w:rPr>
      </w:pPr>
      <w:r>
        <w:rPr>
          <w:rFonts w:hint="eastAsia" w:ascii="宋体" w:hAnsi="宋体" w:cs="宋体"/>
          <w:color w:val="auto"/>
          <w:sz w:val="24"/>
          <w:highlight w:val="none"/>
        </w:rPr>
        <w:t>(投标人可自行制作格式)</w:t>
      </w:r>
    </w:p>
    <w:p w14:paraId="700E4721">
      <w:pPr>
        <w:spacing w:line="500" w:lineRule="exact"/>
        <w:jc w:val="center"/>
        <w:rPr>
          <w:rFonts w:hint="eastAsia" w:ascii="宋体" w:hAnsi="宋体" w:cs="宋体"/>
          <w:b/>
          <w:bCs/>
          <w:color w:val="auto"/>
          <w:sz w:val="30"/>
          <w:highlight w:val="none"/>
        </w:rPr>
      </w:pPr>
    </w:p>
    <w:p w14:paraId="6ECBBEC3">
      <w:pPr>
        <w:pStyle w:val="5"/>
        <w:pageBreakBefore/>
        <w:jc w:val="center"/>
        <w:rPr>
          <w:color w:val="auto"/>
          <w:highlight w:val="none"/>
        </w:rPr>
      </w:pPr>
      <w:r>
        <w:rPr>
          <w:rFonts w:hint="eastAsia"/>
          <w:color w:val="auto"/>
          <w:highlight w:val="none"/>
        </w:rPr>
        <w:t>十、所投服务的技术资料等</w:t>
      </w:r>
    </w:p>
    <w:p w14:paraId="19622FC2">
      <w:pPr>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（投标人可自行制作格式，可附产品技术彩页）</w:t>
      </w:r>
    </w:p>
    <w:p w14:paraId="66CEF520">
      <w:pPr>
        <w:jc w:val="center"/>
        <w:rPr>
          <w:rFonts w:hint="eastAsia" w:ascii="宋体" w:hAnsi="宋体" w:cs="宋体"/>
          <w:color w:val="auto"/>
          <w:sz w:val="24"/>
          <w:highlight w:val="none"/>
        </w:rPr>
      </w:pPr>
    </w:p>
    <w:p w14:paraId="2C9EA9B0">
      <w:pPr>
        <w:jc w:val="center"/>
        <w:rPr>
          <w:rFonts w:hint="eastAsia" w:ascii="宋体" w:hAnsi="宋体" w:cs="宋体"/>
          <w:color w:val="auto"/>
          <w:sz w:val="24"/>
          <w:highlight w:val="none"/>
        </w:rPr>
      </w:pPr>
    </w:p>
    <w:p w14:paraId="5DE08F57">
      <w:pPr>
        <w:jc w:val="center"/>
        <w:rPr>
          <w:rFonts w:hint="eastAsia" w:ascii="宋体" w:hAnsi="宋体" w:cs="宋体"/>
          <w:color w:val="auto"/>
          <w:sz w:val="24"/>
          <w:highlight w:val="none"/>
        </w:rPr>
      </w:pPr>
    </w:p>
    <w:p w14:paraId="0AE7E49C">
      <w:pPr>
        <w:pStyle w:val="5"/>
        <w:pageBreakBefore/>
        <w:jc w:val="center"/>
        <w:rPr>
          <w:color w:val="auto"/>
          <w:highlight w:val="none"/>
        </w:rPr>
      </w:pPr>
      <w:r>
        <w:rPr>
          <w:rFonts w:hint="eastAsia"/>
          <w:color w:val="auto"/>
          <w:highlight w:val="none"/>
        </w:rPr>
        <w:t>十一、其他投标人认为需要提供得材料等</w:t>
      </w:r>
    </w:p>
    <w:p w14:paraId="7D39ECA4">
      <w:pPr>
        <w:pStyle w:val="30"/>
        <w:rPr>
          <w:rFonts w:hint="eastAsia" w:ascii="宋体" w:hAnsi="宋体" w:cs="宋体"/>
          <w:color w:val="auto"/>
          <w:highlight w:val="none"/>
        </w:rPr>
      </w:pPr>
    </w:p>
    <w:p w14:paraId="323843B8">
      <w:pPr>
        <w:pStyle w:val="30"/>
        <w:rPr>
          <w:rFonts w:hint="eastAsia" w:ascii="宋体" w:hAnsi="宋体" w:cs="宋体"/>
          <w:color w:val="auto"/>
          <w:highlight w:val="none"/>
        </w:rPr>
      </w:pPr>
    </w:p>
    <w:p w14:paraId="338AB24D">
      <w:pPr>
        <w:jc w:val="center"/>
        <w:rPr>
          <w:rFonts w:hint="eastAsia" w:ascii="宋体" w:hAnsi="宋体" w:cs="宋体"/>
          <w:color w:val="auto"/>
          <w:sz w:val="24"/>
          <w:highlight w:val="none"/>
        </w:rPr>
      </w:pPr>
    </w:p>
    <w:p w14:paraId="6AE7003F">
      <w:pPr>
        <w:jc w:val="center"/>
        <w:rPr>
          <w:rFonts w:hint="eastAsia" w:ascii="宋体" w:hAnsi="宋体" w:cs="宋体"/>
          <w:color w:val="auto"/>
          <w:sz w:val="24"/>
          <w:highlight w:val="none"/>
        </w:rPr>
      </w:pPr>
    </w:p>
    <w:p w14:paraId="3B016DA5">
      <w:pPr>
        <w:jc w:val="center"/>
        <w:rPr>
          <w:rFonts w:hint="eastAsia" w:ascii="宋体" w:hAnsi="宋体" w:cs="宋体"/>
          <w:color w:val="auto"/>
          <w:sz w:val="24"/>
          <w:highlight w:val="none"/>
        </w:rPr>
      </w:pPr>
    </w:p>
    <w:p w14:paraId="40D8170D">
      <w:pPr>
        <w:pStyle w:val="5"/>
        <w:pageBreakBefore/>
        <w:jc w:val="center"/>
        <w:rPr>
          <w:color w:val="auto"/>
          <w:highlight w:val="none"/>
        </w:rPr>
      </w:pPr>
      <w:r>
        <w:rPr>
          <w:rFonts w:hint="eastAsia"/>
          <w:color w:val="auto"/>
          <w:highlight w:val="none"/>
        </w:rPr>
        <w:t>十二、政府采购</w:t>
      </w:r>
      <w:r>
        <w:rPr>
          <w:rFonts w:hint="eastAsia"/>
          <w:color w:val="auto"/>
          <w:highlight w:val="none"/>
          <w:lang w:eastAsia="zh-CN"/>
        </w:rPr>
        <w:t>投标人</w:t>
      </w:r>
      <w:r>
        <w:rPr>
          <w:rFonts w:hint="eastAsia"/>
          <w:color w:val="auto"/>
          <w:highlight w:val="none"/>
        </w:rPr>
        <w:t>诚信承诺书</w:t>
      </w:r>
    </w:p>
    <w:p w14:paraId="3CF92BD5">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E13699D">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textAlignment w:val="auto"/>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09C780B5">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textAlignment w:val="auto"/>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w:t>
      </w:r>
    </w:p>
    <w:p w14:paraId="45A15CF8">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textAlignment w:val="auto"/>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5A787F4B">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textAlignment w:val="auto"/>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5BB83AFC">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textAlignment w:val="auto"/>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5BBAE1D">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textAlignment w:val="auto"/>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4C135CD6">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textAlignment w:val="auto"/>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1DDD5077">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textAlignment w:val="auto"/>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4E64AD16">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textAlignment w:val="auto"/>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07510641">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textAlignment w:val="auto"/>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4A69963F">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textAlignment w:val="auto"/>
        <w:rPr>
          <w:rFonts w:hint="eastAsia" w:ascii="宋体" w:hAnsi="宋体" w:cs="宋体"/>
          <w:color w:val="auto"/>
          <w:sz w:val="24"/>
          <w:highlight w:val="none"/>
        </w:rPr>
      </w:pPr>
      <w:r>
        <w:rPr>
          <w:rFonts w:hint="eastAsia" w:ascii="宋体" w:hAnsi="宋体" w:cs="宋体"/>
          <w:color w:val="auto"/>
          <w:sz w:val="24"/>
          <w:highlight w:val="none"/>
        </w:rPr>
        <w:t>（十ー）擅自或与与采购人串通或接受采购人要求，在履约合同中通过减少服务数量，更服务标准等，却仍按原合同进行虚假验收或终止政府采购合同;</w:t>
      </w:r>
    </w:p>
    <w:p w14:paraId="4FB5D64A">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jc w:val="left"/>
        <w:textAlignment w:val="auto"/>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0DEAA1D6">
      <w:pPr>
        <w:keepNext w:val="0"/>
        <w:keepLines w:val="0"/>
        <w:pageBreakBefore w:val="0"/>
        <w:widowControl w:val="0"/>
        <w:kinsoku/>
        <w:wordWrap/>
        <w:overflowPunct/>
        <w:topLinePunct w:val="0"/>
        <w:autoSpaceDE/>
        <w:autoSpaceDN/>
        <w:bidi w:val="0"/>
        <w:adjustRightInd/>
        <w:snapToGrid/>
        <w:spacing w:after="0" w:line="400" w:lineRule="exact"/>
        <w:ind w:firstLine="403" w:firstLineChars="168"/>
        <w:jc w:val="left"/>
        <w:textAlignment w:val="auto"/>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7D4F571F">
      <w:pPr>
        <w:keepNext w:val="0"/>
        <w:keepLines w:val="0"/>
        <w:pageBreakBefore w:val="0"/>
        <w:widowControl w:val="0"/>
        <w:kinsoku/>
        <w:wordWrap/>
        <w:overflowPunct/>
        <w:topLinePunct w:val="0"/>
        <w:autoSpaceDE/>
        <w:autoSpaceDN/>
        <w:bidi w:val="0"/>
        <w:adjustRightInd/>
        <w:snapToGrid/>
        <w:spacing w:after="0" w:line="400" w:lineRule="exact"/>
        <w:ind w:firstLine="360" w:firstLineChars="150"/>
        <w:jc w:val="left"/>
        <w:textAlignment w:val="auto"/>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67CE2BEE">
      <w:pPr>
        <w:keepNext w:val="0"/>
        <w:keepLines w:val="0"/>
        <w:pageBreakBefore w:val="0"/>
        <w:widowControl w:val="0"/>
        <w:kinsoku/>
        <w:wordWrap/>
        <w:overflowPunct/>
        <w:topLinePunct w:val="0"/>
        <w:autoSpaceDE/>
        <w:autoSpaceDN/>
        <w:bidi w:val="0"/>
        <w:adjustRightInd/>
        <w:snapToGrid/>
        <w:spacing w:after="0" w:line="400" w:lineRule="exact"/>
        <w:ind w:firstLine="360" w:firstLineChars="150"/>
        <w:jc w:val="left"/>
        <w:textAlignment w:val="auto"/>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6B784A69">
      <w:pPr>
        <w:keepNext w:val="0"/>
        <w:keepLines w:val="0"/>
        <w:pageBreakBefore w:val="0"/>
        <w:widowControl w:val="0"/>
        <w:kinsoku/>
        <w:wordWrap/>
        <w:overflowPunct/>
        <w:topLinePunct w:val="0"/>
        <w:autoSpaceDE/>
        <w:autoSpaceDN/>
        <w:bidi w:val="0"/>
        <w:adjustRightInd/>
        <w:snapToGrid/>
        <w:spacing w:after="0" w:line="400" w:lineRule="exact"/>
        <w:ind w:firstLine="240" w:firstLineChars="1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0CB8F24">
      <w:pPr>
        <w:keepNext w:val="0"/>
        <w:keepLines w:val="0"/>
        <w:pageBreakBefore w:val="0"/>
        <w:widowControl w:val="0"/>
        <w:kinsoku/>
        <w:wordWrap/>
        <w:overflowPunct/>
        <w:topLinePunct w:val="0"/>
        <w:autoSpaceDE/>
        <w:autoSpaceDN/>
        <w:bidi w:val="0"/>
        <w:adjustRightInd/>
        <w:snapToGrid/>
        <w:spacing w:after="0" w:line="400" w:lineRule="exact"/>
        <w:ind w:firstLine="240" w:firstLineChars="1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1C3F0842">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宋体" w:hAnsi="宋体" w:cs="宋体"/>
          <w:color w:val="auto"/>
          <w:sz w:val="24"/>
          <w:highlight w:val="none"/>
        </w:rPr>
      </w:pPr>
    </w:p>
    <w:p w14:paraId="392C9DF3">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名称：（电子公章）</w:t>
      </w:r>
    </w:p>
    <w:p w14:paraId="4314D8A3">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388BBBA7">
      <w:pPr>
        <w:keepNext w:val="0"/>
        <w:keepLines w:val="0"/>
        <w:pageBreakBefore w:val="0"/>
        <w:widowControl w:val="0"/>
        <w:kinsoku/>
        <w:wordWrap/>
        <w:overflowPunct/>
        <w:topLinePunct w:val="0"/>
        <w:autoSpaceDE/>
        <w:autoSpaceDN/>
        <w:bidi w:val="0"/>
        <w:adjustRightInd/>
        <w:snapToGrid/>
        <w:spacing w:after="0" w:line="400" w:lineRule="exact"/>
        <w:ind w:right="640" w:firstLine="4080" w:firstLineChars="1700"/>
        <w:textAlignment w:val="auto"/>
        <w:rPr>
          <w:rFonts w:hint="eastAsia" w:ascii="宋体" w:hAnsi="宋体" w:cs="宋体"/>
          <w:color w:val="auto"/>
          <w:sz w:val="24"/>
          <w:highlight w:val="none"/>
        </w:rPr>
      </w:pPr>
      <w:r>
        <w:rPr>
          <w:rFonts w:hint="eastAsia" w:ascii="宋体" w:hAnsi="宋体" w:cs="宋体"/>
          <w:color w:val="auto"/>
          <w:sz w:val="24"/>
          <w:highlight w:val="none"/>
        </w:rPr>
        <w:t>法定代表人或负责人：（签章）</w:t>
      </w:r>
    </w:p>
    <w:p w14:paraId="63AACD8F">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宋体" w:hAnsi="宋体" w:cs="宋体"/>
          <w:color w:val="auto"/>
          <w:sz w:val="24"/>
          <w:highlight w:val="none"/>
        </w:rPr>
      </w:pPr>
    </w:p>
    <w:p w14:paraId="2A9CC343">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日期：      年   月    日</w:t>
      </w:r>
    </w:p>
    <w:p w14:paraId="5AFBB2C9">
      <w:pPr>
        <w:pStyle w:val="2"/>
        <w:keepNext w:val="0"/>
        <w:keepLines w:val="0"/>
        <w:pageBreakBefore w:val="0"/>
        <w:widowControl w:val="0"/>
        <w:kinsoku/>
        <w:wordWrap/>
        <w:overflowPunct/>
        <w:topLinePunct w:val="0"/>
        <w:autoSpaceDE/>
        <w:autoSpaceDN/>
        <w:bidi w:val="0"/>
        <w:adjustRightInd/>
        <w:snapToGrid/>
        <w:spacing w:line="400" w:lineRule="exact"/>
        <w:ind w:firstLine="210"/>
        <w:textAlignment w:val="auto"/>
        <w:rPr>
          <w:rFonts w:hint="eastAsia" w:ascii="宋体" w:hAnsi="宋体" w:cs="宋体"/>
          <w:color w:val="auto"/>
          <w:highlight w:val="none"/>
        </w:rPr>
      </w:pPr>
    </w:p>
    <w:p w14:paraId="0506B3DF">
      <w:pPr>
        <w:spacing w:line="380" w:lineRule="exact"/>
        <w:ind w:right="640"/>
        <w:rPr>
          <w:b/>
          <w:bCs/>
          <w:color w:val="auto"/>
          <w:sz w:val="24"/>
          <w:highlight w:val="none"/>
        </w:rPr>
      </w:pPr>
      <w:r>
        <w:rPr>
          <w:rFonts w:hint="eastAsia"/>
          <w:color w:val="auto"/>
          <w:sz w:val="28"/>
          <w:szCs w:val="28"/>
          <w:highlight w:val="none"/>
        </w:rPr>
        <w:t>附件1：</w:t>
      </w:r>
      <w:r>
        <w:rPr>
          <w:rFonts w:hint="eastAsia" w:ascii="宋体" w:hAnsi="宋体" w:cs="宋体"/>
          <w:b/>
          <w:bCs/>
          <w:color w:val="auto"/>
          <w:sz w:val="24"/>
          <w:highlight w:val="none"/>
        </w:rPr>
        <w:t>法定代表人或负责人</w:t>
      </w:r>
      <w:r>
        <w:rPr>
          <w:rFonts w:hint="eastAsia" w:ascii="宋体" w:hAnsi="宋体" w:cs="宋体"/>
          <w:b/>
          <w:bCs/>
          <w:snapToGrid w:val="0"/>
          <w:color w:val="auto"/>
          <w:spacing w:val="-2"/>
          <w:kern w:val="0"/>
          <w:sz w:val="24"/>
          <w:highlight w:val="none"/>
        </w:rPr>
        <w:t>身份证明</w:t>
      </w:r>
      <w:r>
        <w:rPr>
          <w:b/>
          <w:bCs/>
          <w:color w:val="auto"/>
          <w:sz w:val="24"/>
          <w:highlight w:val="none"/>
        </w:rPr>
        <w:t>及授权委托书</w:t>
      </w:r>
    </w:p>
    <w:p w14:paraId="2550B4C0">
      <w:pPr>
        <w:pStyle w:val="41"/>
        <w:rPr>
          <w:color w:val="auto"/>
          <w:highlight w:val="none"/>
        </w:rPr>
      </w:pPr>
    </w:p>
    <w:p w14:paraId="44DABCCA">
      <w:pPr>
        <w:spacing w:line="380" w:lineRule="exact"/>
        <w:ind w:right="640" w:firstLine="3614" w:firstLineChars="1500"/>
        <w:rPr>
          <w:rFonts w:hint="eastAsia" w:ascii="宋体" w:hAnsi="宋体" w:cs="宋体"/>
          <w:b/>
          <w:bCs/>
          <w:snapToGrid w:val="0"/>
          <w:color w:val="auto"/>
          <w:kern w:val="0"/>
          <w:sz w:val="24"/>
          <w:highlight w:val="none"/>
        </w:rPr>
      </w:pPr>
      <w:r>
        <w:rPr>
          <w:rFonts w:hint="eastAsia" w:ascii="宋体" w:hAnsi="宋体" w:cs="宋体"/>
          <w:b/>
          <w:bCs/>
          <w:color w:val="auto"/>
          <w:sz w:val="24"/>
          <w:highlight w:val="none"/>
        </w:rPr>
        <w:t>法定代表人或负责人</w:t>
      </w:r>
      <w:r>
        <w:rPr>
          <w:rFonts w:hint="eastAsia" w:ascii="宋体" w:hAnsi="宋体" w:cs="宋体"/>
          <w:b/>
          <w:bCs/>
          <w:snapToGrid w:val="0"/>
          <w:color w:val="auto"/>
          <w:spacing w:val="-2"/>
          <w:kern w:val="0"/>
          <w:sz w:val="24"/>
          <w:highlight w:val="none"/>
        </w:rPr>
        <w:t>身份证明</w:t>
      </w:r>
    </w:p>
    <w:p w14:paraId="168967EE">
      <w:pPr>
        <w:kinsoku w:val="0"/>
        <w:autoSpaceDE w:val="0"/>
        <w:autoSpaceDN w:val="0"/>
        <w:adjustRightInd w:val="0"/>
        <w:snapToGrid w:val="0"/>
        <w:spacing w:before="280" w:line="228" w:lineRule="auto"/>
        <w:ind w:left="637"/>
        <w:jc w:val="left"/>
        <w:textAlignment w:val="baseline"/>
        <w:rPr>
          <w:rFonts w:hint="eastAsia" w:ascii="宋体" w:hAnsi="宋体" w:eastAsia="宋体" w:cs="宋体"/>
          <w:snapToGrid w:val="0"/>
          <w:color w:val="auto"/>
          <w:kern w:val="0"/>
          <w:sz w:val="24"/>
          <w:highlight w:val="none"/>
          <w:u w:val="single"/>
          <w:lang w:val="en-US" w:eastAsia="zh-CN"/>
        </w:rPr>
      </w:pPr>
      <w:r>
        <w:rPr>
          <w:rFonts w:hint="eastAsia" w:ascii="宋体" w:hAnsi="宋体" w:cs="宋体"/>
          <w:snapToGrid w:val="0"/>
          <w:color w:val="auto"/>
          <w:spacing w:val="6"/>
          <w:kern w:val="0"/>
          <w:sz w:val="24"/>
          <w:highlight w:val="none"/>
          <w:lang w:eastAsia="zh-CN"/>
        </w:rPr>
        <w:t>投标人</w:t>
      </w:r>
      <w:r>
        <w:rPr>
          <w:rFonts w:hint="eastAsia" w:ascii="宋体" w:hAnsi="宋体" w:cs="宋体"/>
          <w:snapToGrid w:val="0"/>
          <w:color w:val="auto"/>
          <w:spacing w:val="6"/>
          <w:kern w:val="0"/>
          <w:sz w:val="24"/>
          <w:highlight w:val="none"/>
        </w:rPr>
        <w:t>名称：</w:t>
      </w:r>
      <w:r>
        <w:rPr>
          <w:rFonts w:hint="eastAsia" w:ascii="宋体" w:hAnsi="宋体" w:cs="宋体"/>
          <w:snapToGrid w:val="0"/>
          <w:color w:val="auto"/>
          <w:spacing w:val="6"/>
          <w:kern w:val="0"/>
          <w:sz w:val="24"/>
          <w:highlight w:val="none"/>
          <w:u w:val="single"/>
        </w:rPr>
        <w:t xml:space="preserve">                      </w:t>
      </w:r>
      <w:r>
        <w:rPr>
          <w:rFonts w:hint="eastAsia" w:ascii="宋体" w:hAnsi="宋体" w:cs="宋体"/>
          <w:snapToGrid w:val="0"/>
          <w:color w:val="auto"/>
          <w:spacing w:val="6"/>
          <w:kern w:val="0"/>
          <w:sz w:val="24"/>
          <w:highlight w:val="none"/>
          <w:u w:val="single"/>
          <w:lang w:val="en-US" w:eastAsia="zh-CN"/>
        </w:rPr>
        <w:t xml:space="preserve"> </w:t>
      </w:r>
    </w:p>
    <w:p w14:paraId="3064C112">
      <w:pPr>
        <w:kinsoku w:val="0"/>
        <w:autoSpaceDE w:val="0"/>
        <w:autoSpaceDN w:val="0"/>
        <w:adjustRightInd w:val="0"/>
        <w:snapToGrid w:val="0"/>
        <w:spacing w:before="161" w:line="229" w:lineRule="auto"/>
        <w:ind w:left="638"/>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8"/>
          <w:kern w:val="0"/>
          <w:sz w:val="24"/>
          <w:highlight w:val="none"/>
        </w:rPr>
        <w:t>单位性质：</w:t>
      </w:r>
      <w:r>
        <w:rPr>
          <w:rFonts w:hint="eastAsia" w:ascii="宋体" w:hAnsi="宋体" w:cs="宋体"/>
          <w:snapToGrid w:val="0"/>
          <w:color w:val="auto"/>
          <w:kern w:val="0"/>
          <w:sz w:val="24"/>
          <w:highlight w:val="none"/>
          <w:u w:val="single"/>
        </w:rPr>
        <w:t xml:space="preserve">                           </w:t>
      </w:r>
    </w:p>
    <w:p w14:paraId="244F9E71">
      <w:pPr>
        <w:kinsoku w:val="0"/>
        <w:autoSpaceDE w:val="0"/>
        <w:autoSpaceDN w:val="0"/>
        <w:adjustRightInd w:val="0"/>
        <w:snapToGrid w:val="0"/>
        <w:spacing w:before="159" w:line="238" w:lineRule="auto"/>
        <w:ind w:left="637"/>
        <w:jc w:val="left"/>
        <w:textAlignment w:val="baseline"/>
        <w:rPr>
          <w:rFonts w:hint="eastAsia" w:ascii="宋体" w:hAnsi="宋体" w:eastAsia="宋体" w:cs="宋体"/>
          <w:snapToGrid w:val="0"/>
          <w:color w:val="auto"/>
          <w:kern w:val="0"/>
          <w:sz w:val="24"/>
          <w:highlight w:val="none"/>
          <w:lang w:val="en-US" w:eastAsia="zh-CN"/>
        </w:rPr>
      </w:pPr>
      <w:r>
        <w:rPr>
          <w:rFonts w:hint="eastAsia" w:ascii="宋体" w:hAnsi="宋体" w:cs="宋体"/>
          <w:snapToGrid w:val="0"/>
          <w:color w:val="auto"/>
          <w:spacing w:val="-3"/>
          <w:kern w:val="0"/>
          <w:sz w:val="24"/>
          <w:highlight w:val="none"/>
        </w:rPr>
        <w:t>地     址</w:t>
      </w:r>
      <w:r>
        <w:rPr>
          <w:rFonts w:hint="eastAsia" w:ascii="宋体" w:hAnsi="宋体" w:cs="宋体"/>
          <w:snapToGrid w:val="0"/>
          <w:color w:val="auto"/>
          <w:spacing w:val="-64"/>
          <w:kern w:val="0"/>
          <w:sz w:val="24"/>
          <w:highlight w:val="none"/>
        </w:rPr>
        <w:t xml:space="preserve"> </w:t>
      </w:r>
      <w:r>
        <w:rPr>
          <w:rFonts w:hint="eastAsia" w:ascii="宋体" w:hAnsi="宋体" w:cs="宋体"/>
          <w:snapToGrid w:val="0"/>
          <w:color w:val="auto"/>
          <w:spacing w:val="-3"/>
          <w:kern w:val="0"/>
          <w:sz w:val="24"/>
          <w:highlight w:val="none"/>
        </w:rPr>
        <w:t>：</w:t>
      </w:r>
      <w:r>
        <w:rPr>
          <w:rFonts w:hint="eastAsia" w:ascii="宋体" w:hAnsi="宋体" w:cs="宋体"/>
          <w:snapToGrid w:val="0"/>
          <w:color w:val="auto"/>
          <w:spacing w:val="-3"/>
          <w:kern w:val="0"/>
          <w:sz w:val="24"/>
          <w:highlight w:val="none"/>
          <w:u w:val="single"/>
        </w:rPr>
        <w:t xml:space="preserve">                           </w:t>
      </w:r>
      <w:r>
        <w:rPr>
          <w:rFonts w:hint="eastAsia" w:ascii="宋体" w:hAnsi="宋体" w:cs="宋体"/>
          <w:snapToGrid w:val="0"/>
          <w:color w:val="auto"/>
          <w:spacing w:val="-3"/>
          <w:kern w:val="0"/>
          <w:sz w:val="24"/>
          <w:highlight w:val="none"/>
          <w:u w:val="single"/>
          <w:lang w:val="en-US" w:eastAsia="zh-CN"/>
        </w:rPr>
        <w:t xml:space="preserve"> </w:t>
      </w:r>
    </w:p>
    <w:p w14:paraId="1D7E12CB">
      <w:pPr>
        <w:kinsoku w:val="0"/>
        <w:autoSpaceDE w:val="0"/>
        <w:autoSpaceDN w:val="0"/>
        <w:adjustRightInd w:val="0"/>
        <w:snapToGrid w:val="0"/>
        <w:spacing w:before="154" w:line="362" w:lineRule="auto"/>
        <w:ind w:left="638" w:right="4875"/>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成立时间：</w:t>
      </w:r>
      <w:r>
        <w:rPr>
          <w:rFonts w:hint="eastAsia" w:ascii="宋体" w:hAnsi="宋体" w:cs="宋体"/>
          <w:snapToGrid w:val="0"/>
          <w:color w:val="auto"/>
          <w:spacing w:val="4"/>
          <w:kern w:val="0"/>
          <w:sz w:val="24"/>
          <w:highlight w:val="none"/>
          <w:u w:val="single"/>
        </w:rPr>
        <w:t xml:space="preserve">      </w:t>
      </w:r>
      <w:r>
        <w:rPr>
          <w:rFonts w:hint="eastAsia" w:ascii="宋体" w:hAnsi="宋体" w:cs="宋体"/>
          <w:snapToGrid w:val="0"/>
          <w:color w:val="auto"/>
          <w:spacing w:val="-86"/>
          <w:kern w:val="0"/>
          <w:sz w:val="24"/>
          <w:highlight w:val="none"/>
        </w:rPr>
        <w:t xml:space="preserve"> </w:t>
      </w:r>
      <w:r>
        <w:rPr>
          <w:rFonts w:hint="eastAsia" w:ascii="宋体" w:hAnsi="宋体" w:cs="宋体"/>
          <w:snapToGrid w:val="0"/>
          <w:color w:val="auto"/>
          <w:kern w:val="0"/>
          <w:sz w:val="24"/>
          <w:highlight w:val="none"/>
        </w:rPr>
        <w:t>年</w:t>
      </w:r>
      <w:r>
        <w:rPr>
          <w:rFonts w:hint="eastAsia" w:ascii="宋体" w:hAnsi="宋体" w:cs="宋体"/>
          <w:snapToGrid w:val="0"/>
          <w:color w:val="auto"/>
          <w:spacing w:val="-98"/>
          <w:kern w:val="0"/>
          <w:sz w:val="24"/>
          <w:highlight w:val="none"/>
        </w:rPr>
        <w:t xml:space="preserve"> </w:t>
      </w:r>
      <w:r>
        <w:rPr>
          <w:rFonts w:hint="eastAsia" w:ascii="宋体" w:hAnsi="宋体" w:cs="宋体"/>
          <w:snapToGrid w:val="0"/>
          <w:color w:val="auto"/>
          <w:spacing w:val="5"/>
          <w:kern w:val="0"/>
          <w:sz w:val="24"/>
          <w:highlight w:val="none"/>
          <w:u w:val="single"/>
        </w:rPr>
        <w:t xml:space="preserve">    </w:t>
      </w:r>
      <w:r>
        <w:rPr>
          <w:rFonts w:hint="eastAsia" w:ascii="宋体" w:hAnsi="宋体" w:cs="宋体"/>
          <w:snapToGrid w:val="0"/>
          <w:color w:val="auto"/>
          <w:spacing w:val="-86"/>
          <w:kern w:val="0"/>
          <w:sz w:val="24"/>
          <w:highlight w:val="none"/>
        </w:rPr>
        <w:t xml:space="preserve"> </w:t>
      </w:r>
      <w:r>
        <w:rPr>
          <w:rFonts w:hint="eastAsia" w:ascii="宋体" w:hAnsi="宋体" w:cs="宋体"/>
          <w:snapToGrid w:val="0"/>
          <w:color w:val="auto"/>
          <w:kern w:val="0"/>
          <w:sz w:val="24"/>
          <w:highlight w:val="none"/>
        </w:rPr>
        <w:t>月</w:t>
      </w:r>
      <w:r>
        <w:rPr>
          <w:rFonts w:hint="eastAsia" w:ascii="宋体" w:hAnsi="宋体" w:cs="宋体"/>
          <w:snapToGrid w:val="0"/>
          <w:color w:val="auto"/>
          <w:spacing w:val="5"/>
          <w:kern w:val="0"/>
          <w:sz w:val="24"/>
          <w:highlight w:val="none"/>
          <w:u w:val="single"/>
        </w:rPr>
        <w:t xml:space="preserve">     </w:t>
      </w:r>
      <w:r>
        <w:rPr>
          <w:rFonts w:hint="eastAsia" w:ascii="宋体" w:hAnsi="宋体" w:cs="宋体"/>
          <w:snapToGrid w:val="0"/>
          <w:color w:val="auto"/>
          <w:spacing w:val="-56"/>
          <w:kern w:val="0"/>
          <w:sz w:val="24"/>
          <w:highlight w:val="none"/>
        </w:rPr>
        <w:t xml:space="preserve"> </w:t>
      </w:r>
      <w:r>
        <w:rPr>
          <w:rFonts w:hint="eastAsia" w:ascii="宋体" w:hAnsi="宋体" w:cs="宋体"/>
          <w:snapToGrid w:val="0"/>
          <w:color w:val="auto"/>
          <w:kern w:val="0"/>
          <w:sz w:val="24"/>
          <w:highlight w:val="none"/>
        </w:rPr>
        <w:t xml:space="preserve">日  </w:t>
      </w:r>
      <w:r>
        <w:rPr>
          <w:rFonts w:hint="eastAsia" w:ascii="宋体" w:hAnsi="宋体" w:cs="宋体"/>
          <w:snapToGrid w:val="0"/>
          <w:color w:val="auto"/>
          <w:spacing w:val="8"/>
          <w:kern w:val="0"/>
          <w:sz w:val="24"/>
          <w:highlight w:val="none"/>
        </w:rPr>
        <w:t>经营期限：</w:t>
      </w:r>
      <w:r>
        <w:rPr>
          <w:rFonts w:hint="eastAsia" w:ascii="宋体" w:hAnsi="宋体" w:cs="宋体"/>
          <w:snapToGrid w:val="0"/>
          <w:color w:val="auto"/>
          <w:kern w:val="0"/>
          <w:sz w:val="24"/>
          <w:highlight w:val="none"/>
          <w:u w:val="single"/>
        </w:rPr>
        <w:t xml:space="preserve">                        </w:t>
      </w:r>
    </w:p>
    <w:p w14:paraId="08A3C300">
      <w:pPr>
        <w:kinsoku w:val="0"/>
        <w:autoSpaceDE w:val="0"/>
        <w:autoSpaceDN w:val="0"/>
        <w:adjustRightInd w:val="0"/>
        <w:snapToGrid w:val="0"/>
        <w:spacing w:before="31" w:line="228" w:lineRule="auto"/>
        <w:ind w:left="637"/>
        <w:jc w:val="left"/>
        <w:textAlignment w:val="baseline"/>
        <w:rPr>
          <w:rFonts w:hint="default" w:ascii="宋体" w:hAnsi="宋体" w:eastAsia="宋体" w:cs="宋体"/>
          <w:snapToGrid w:val="0"/>
          <w:color w:val="auto"/>
          <w:kern w:val="0"/>
          <w:sz w:val="24"/>
          <w:highlight w:val="none"/>
          <w:lang w:val="en-US" w:eastAsia="zh-CN"/>
        </w:rPr>
      </w:pPr>
      <w:r>
        <w:rPr>
          <w:rFonts w:hint="eastAsia" w:ascii="宋体" w:hAnsi="宋体" w:cs="宋体"/>
          <w:snapToGrid w:val="0"/>
          <w:color w:val="auto"/>
          <w:spacing w:val="-6"/>
          <w:kern w:val="0"/>
          <w:sz w:val="24"/>
          <w:highlight w:val="none"/>
        </w:rPr>
        <w:t>姓</w:t>
      </w:r>
      <w:r>
        <w:rPr>
          <w:rFonts w:hint="eastAsia" w:ascii="宋体" w:hAnsi="宋体" w:cs="宋体"/>
          <w:snapToGrid w:val="0"/>
          <w:color w:val="auto"/>
          <w:spacing w:val="24"/>
          <w:kern w:val="0"/>
          <w:sz w:val="24"/>
          <w:highlight w:val="none"/>
        </w:rPr>
        <w:t xml:space="preserve">    </w:t>
      </w:r>
      <w:r>
        <w:rPr>
          <w:rFonts w:hint="eastAsia" w:ascii="宋体" w:hAnsi="宋体" w:cs="宋体"/>
          <w:snapToGrid w:val="0"/>
          <w:color w:val="auto"/>
          <w:spacing w:val="-6"/>
          <w:kern w:val="0"/>
          <w:sz w:val="24"/>
          <w:highlight w:val="none"/>
        </w:rPr>
        <w:t>名</w:t>
      </w:r>
      <w:r>
        <w:rPr>
          <w:rFonts w:hint="eastAsia" w:ascii="宋体" w:hAnsi="宋体" w:cs="宋体"/>
          <w:snapToGrid w:val="0"/>
          <w:color w:val="auto"/>
          <w:spacing w:val="-72"/>
          <w:kern w:val="0"/>
          <w:sz w:val="24"/>
          <w:highlight w:val="none"/>
        </w:rPr>
        <w:t xml:space="preserve"> </w:t>
      </w:r>
      <w:r>
        <w:rPr>
          <w:rFonts w:hint="eastAsia" w:ascii="宋体" w:hAnsi="宋体" w:cs="宋体"/>
          <w:snapToGrid w:val="0"/>
          <w:color w:val="auto"/>
          <w:spacing w:val="-6"/>
          <w:kern w:val="0"/>
          <w:sz w:val="24"/>
          <w:highlight w:val="none"/>
        </w:rPr>
        <w:t>：</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spacing w:val="-9"/>
          <w:kern w:val="0"/>
          <w:sz w:val="24"/>
          <w:highlight w:val="none"/>
        </w:rPr>
        <w:t>性</w:t>
      </w:r>
      <w:r>
        <w:rPr>
          <w:rFonts w:hint="eastAsia" w:ascii="宋体" w:hAnsi="宋体" w:cs="宋体"/>
          <w:snapToGrid w:val="0"/>
          <w:color w:val="auto"/>
          <w:spacing w:val="24"/>
          <w:kern w:val="0"/>
          <w:sz w:val="24"/>
          <w:highlight w:val="none"/>
        </w:rPr>
        <w:t xml:space="preserve">    </w:t>
      </w:r>
      <w:r>
        <w:rPr>
          <w:rFonts w:hint="eastAsia" w:ascii="宋体" w:hAnsi="宋体" w:cs="宋体"/>
          <w:snapToGrid w:val="0"/>
          <w:color w:val="auto"/>
          <w:spacing w:val="-9"/>
          <w:kern w:val="0"/>
          <w:sz w:val="24"/>
          <w:highlight w:val="none"/>
        </w:rPr>
        <w:t>别</w:t>
      </w:r>
      <w:r>
        <w:rPr>
          <w:rFonts w:hint="eastAsia" w:ascii="宋体" w:hAnsi="宋体" w:cs="宋体"/>
          <w:snapToGrid w:val="0"/>
          <w:color w:val="auto"/>
          <w:spacing w:val="-71"/>
          <w:kern w:val="0"/>
          <w:sz w:val="24"/>
          <w:highlight w:val="none"/>
        </w:rPr>
        <w:t xml:space="preserve"> </w:t>
      </w:r>
      <w:r>
        <w:rPr>
          <w:rFonts w:hint="eastAsia" w:ascii="宋体" w:hAnsi="宋体" w:cs="宋体"/>
          <w:snapToGrid w:val="0"/>
          <w:color w:val="auto"/>
          <w:spacing w:val="-9"/>
          <w:kern w:val="0"/>
          <w:sz w:val="24"/>
          <w:highlight w:val="none"/>
        </w:rPr>
        <w:t>：</w:t>
      </w:r>
      <w:r>
        <w:rPr>
          <w:rFonts w:hint="eastAsia" w:ascii="宋体" w:hAnsi="宋体" w:cs="宋体"/>
          <w:snapToGrid w:val="0"/>
          <w:color w:val="auto"/>
          <w:spacing w:val="-20"/>
          <w:kern w:val="0"/>
          <w:sz w:val="24"/>
          <w:highlight w:val="none"/>
        </w:rPr>
        <w:t xml:space="preserve"> </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u w:val="single"/>
          <w:lang w:val="en-US" w:eastAsia="zh-CN"/>
        </w:rPr>
        <w:t xml:space="preserve">   </w:t>
      </w:r>
    </w:p>
    <w:p w14:paraId="0D7C94E5">
      <w:pPr>
        <w:kinsoku w:val="0"/>
        <w:autoSpaceDE w:val="0"/>
        <w:autoSpaceDN w:val="0"/>
        <w:adjustRightInd w:val="0"/>
        <w:snapToGrid w:val="0"/>
        <w:spacing w:before="160" w:line="228" w:lineRule="auto"/>
        <w:ind w:left="637"/>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3"/>
          <w:kern w:val="0"/>
          <w:sz w:val="24"/>
          <w:highlight w:val="none"/>
        </w:rPr>
        <w:t>年     龄</w:t>
      </w:r>
      <w:r>
        <w:rPr>
          <w:rFonts w:hint="eastAsia" w:ascii="宋体" w:hAnsi="宋体" w:cs="宋体"/>
          <w:snapToGrid w:val="0"/>
          <w:color w:val="auto"/>
          <w:spacing w:val="-70"/>
          <w:kern w:val="0"/>
          <w:sz w:val="24"/>
          <w:highlight w:val="none"/>
        </w:rPr>
        <w:t xml:space="preserve"> </w:t>
      </w:r>
      <w:r>
        <w:rPr>
          <w:rFonts w:hint="eastAsia" w:ascii="宋体" w:hAnsi="宋体" w:cs="宋体"/>
          <w:snapToGrid w:val="0"/>
          <w:color w:val="auto"/>
          <w:spacing w:val="-3"/>
          <w:kern w:val="0"/>
          <w:sz w:val="24"/>
          <w:highlight w:val="none"/>
        </w:rPr>
        <w:t>：</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spacing w:val="-2"/>
          <w:kern w:val="0"/>
          <w:sz w:val="24"/>
          <w:highlight w:val="none"/>
        </w:rPr>
        <w:t>职     务：</w:t>
      </w:r>
      <w:r>
        <w:rPr>
          <w:rFonts w:hint="eastAsia" w:ascii="宋体" w:hAnsi="宋体" w:cs="宋体"/>
          <w:snapToGrid w:val="0"/>
          <w:color w:val="auto"/>
          <w:kern w:val="0"/>
          <w:sz w:val="24"/>
          <w:highlight w:val="none"/>
          <w:u w:val="single"/>
        </w:rPr>
        <w:t xml:space="preserve">            </w:t>
      </w:r>
    </w:p>
    <w:p w14:paraId="7F68CA03">
      <w:pPr>
        <w:kinsoku w:val="0"/>
        <w:autoSpaceDE w:val="0"/>
        <w:autoSpaceDN w:val="0"/>
        <w:adjustRightInd w:val="0"/>
        <w:snapToGrid w:val="0"/>
        <w:spacing w:before="163" w:line="488" w:lineRule="auto"/>
        <w:ind w:left="637" w:right="3020" w:firstLine="4"/>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3"/>
          <w:kern w:val="0"/>
          <w:sz w:val="24"/>
          <w:highlight w:val="none"/>
        </w:rPr>
        <w:t>系</w:t>
      </w:r>
      <w:r>
        <w:rPr>
          <w:rFonts w:hint="eastAsia" w:ascii="宋体" w:hAnsi="宋体" w:cs="宋体"/>
          <w:snapToGrid w:val="0"/>
          <w:color w:val="auto"/>
          <w:spacing w:val="6"/>
          <w:kern w:val="0"/>
          <w:sz w:val="24"/>
          <w:highlight w:val="none"/>
          <w:u w:val="single"/>
        </w:rPr>
        <w:t xml:space="preserve"> </w:t>
      </w:r>
      <w:r>
        <w:rPr>
          <w:rFonts w:hint="eastAsia" w:ascii="宋体" w:hAnsi="宋体" w:cs="宋体"/>
          <w:snapToGrid w:val="0"/>
          <w:color w:val="auto"/>
          <w:spacing w:val="3"/>
          <w:kern w:val="0"/>
          <w:sz w:val="24"/>
          <w:highlight w:val="none"/>
          <w:u w:val="single"/>
        </w:rPr>
        <w:t>（</w:t>
      </w:r>
      <w:r>
        <w:rPr>
          <w:rFonts w:hint="eastAsia" w:ascii="宋体" w:hAnsi="宋体" w:cs="宋体"/>
          <w:snapToGrid w:val="0"/>
          <w:color w:val="auto"/>
          <w:spacing w:val="3"/>
          <w:kern w:val="0"/>
          <w:sz w:val="24"/>
          <w:highlight w:val="none"/>
          <w:u w:val="single"/>
          <w:lang w:eastAsia="zh-CN"/>
        </w:rPr>
        <w:t>投标人</w:t>
      </w:r>
      <w:r>
        <w:rPr>
          <w:rFonts w:hint="eastAsia" w:ascii="宋体" w:hAnsi="宋体" w:cs="宋体"/>
          <w:snapToGrid w:val="0"/>
          <w:color w:val="auto"/>
          <w:spacing w:val="3"/>
          <w:kern w:val="0"/>
          <w:sz w:val="24"/>
          <w:highlight w:val="none"/>
          <w:u w:val="single"/>
        </w:rPr>
        <w:t>名称）</w:t>
      </w:r>
      <w:r>
        <w:rPr>
          <w:rFonts w:hint="eastAsia" w:ascii="宋体" w:hAnsi="宋体" w:cs="宋体"/>
          <w:snapToGrid w:val="0"/>
          <w:color w:val="auto"/>
          <w:spacing w:val="7"/>
          <w:kern w:val="0"/>
          <w:sz w:val="24"/>
          <w:highlight w:val="none"/>
          <w:u w:val="single"/>
        </w:rPr>
        <w:t xml:space="preserve">     </w:t>
      </w:r>
      <w:r>
        <w:rPr>
          <w:rFonts w:hint="eastAsia" w:ascii="宋体" w:hAnsi="宋体" w:cs="宋体"/>
          <w:snapToGrid w:val="0"/>
          <w:color w:val="auto"/>
          <w:spacing w:val="-74"/>
          <w:kern w:val="0"/>
          <w:sz w:val="24"/>
          <w:highlight w:val="none"/>
        </w:rPr>
        <w:t xml:space="preserve"> </w:t>
      </w:r>
      <w:r>
        <w:rPr>
          <w:rFonts w:hint="eastAsia" w:ascii="宋体" w:hAnsi="宋体" w:cs="宋体"/>
          <w:snapToGrid w:val="0"/>
          <w:color w:val="auto"/>
          <w:spacing w:val="3"/>
          <w:kern w:val="0"/>
          <w:sz w:val="24"/>
          <w:highlight w:val="none"/>
        </w:rPr>
        <w:t>的</w:t>
      </w:r>
      <w:r>
        <w:rPr>
          <w:rFonts w:hint="eastAsia" w:ascii="宋体" w:hAnsi="宋体" w:cs="宋体"/>
          <w:color w:val="auto"/>
          <w:sz w:val="24"/>
          <w:highlight w:val="none"/>
        </w:rPr>
        <w:t>法定代表人或负责人</w:t>
      </w:r>
      <w:r>
        <w:rPr>
          <w:rFonts w:hint="eastAsia" w:ascii="宋体" w:hAnsi="宋体" w:cs="宋体"/>
          <w:snapToGrid w:val="0"/>
          <w:color w:val="auto"/>
          <w:spacing w:val="3"/>
          <w:kern w:val="0"/>
          <w:sz w:val="24"/>
          <w:highlight w:val="none"/>
        </w:rPr>
        <w:t>。</w:t>
      </w:r>
      <w:r>
        <w:rPr>
          <w:rFonts w:hint="eastAsia" w:ascii="宋体" w:hAnsi="宋体" w:cs="宋体"/>
          <w:snapToGrid w:val="0"/>
          <w:color w:val="auto"/>
          <w:kern w:val="0"/>
          <w:sz w:val="24"/>
          <w:highlight w:val="none"/>
        </w:rPr>
        <w:t xml:space="preserve"> </w:t>
      </w:r>
    </w:p>
    <w:p w14:paraId="721AD776">
      <w:pPr>
        <w:kinsoku w:val="0"/>
        <w:autoSpaceDE w:val="0"/>
        <w:autoSpaceDN w:val="0"/>
        <w:adjustRightInd w:val="0"/>
        <w:snapToGrid w:val="0"/>
        <w:spacing w:before="163" w:line="488" w:lineRule="auto"/>
        <w:ind w:left="637" w:right="3020" w:firstLine="4"/>
        <w:jc w:val="left"/>
        <w:textAlignment w:val="baseline"/>
        <w:rPr>
          <w:rFonts w:hint="eastAsia" w:ascii="宋体" w:hAnsi="宋体" w:cs="宋体"/>
          <w:snapToGrid w:val="0"/>
          <w:color w:val="auto"/>
          <w:kern w:val="0"/>
          <w:sz w:val="24"/>
          <w:highlight w:val="none"/>
          <w:lang w:eastAsia="en-US"/>
        </w:rPr>
      </w:pPr>
      <w:r>
        <w:rPr>
          <w:rFonts w:hint="eastAsia" w:ascii="宋体" w:hAnsi="宋体" w:cs="宋体"/>
          <w:snapToGrid w:val="0"/>
          <w:color w:val="auto"/>
          <w:spacing w:val="5"/>
          <w:kern w:val="0"/>
          <w:sz w:val="24"/>
          <w:highlight w:val="none"/>
          <w:lang w:eastAsia="en-US"/>
        </w:rPr>
        <w:t>特此证明</w:t>
      </w:r>
    </w:p>
    <w:tbl>
      <w:tblPr>
        <w:tblStyle w:val="35"/>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6FA2A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tcPr>
          <w:p w14:paraId="544D62AA">
            <w:pPr>
              <w:spacing w:line="480" w:lineRule="exact"/>
              <w:rPr>
                <w:rFonts w:hint="eastAsia" w:ascii="宋体" w:hAnsi="宋体" w:cs="宋体"/>
                <w:b/>
                <w:bCs/>
                <w:color w:val="auto"/>
                <w:sz w:val="24"/>
                <w:highlight w:val="none"/>
              </w:rPr>
            </w:pPr>
          </w:p>
          <w:p w14:paraId="5AA18337">
            <w:pPr>
              <w:spacing w:line="480" w:lineRule="exact"/>
              <w:jc w:val="center"/>
              <w:rPr>
                <w:rFonts w:hint="eastAsia" w:ascii="宋体" w:hAnsi="宋体" w:cs="宋体"/>
                <w:b/>
                <w:bCs/>
                <w:snapToGrid w:val="0"/>
                <w:color w:val="auto"/>
                <w:spacing w:val="-2"/>
                <w:kern w:val="0"/>
                <w:sz w:val="24"/>
                <w:highlight w:val="none"/>
              </w:rPr>
            </w:pPr>
            <w:r>
              <w:rPr>
                <w:rFonts w:hint="eastAsia" w:ascii="宋体" w:hAnsi="宋体" w:cs="宋体"/>
                <w:b/>
                <w:bCs/>
                <w:color w:val="auto"/>
                <w:sz w:val="24"/>
                <w:highlight w:val="none"/>
              </w:rPr>
              <w:t>（附：法定代表人或负责人</w:t>
            </w:r>
            <w:r>
              <w:rPr>
                <w:rFonts w:hint="eastAsia" w:ascii="宋体" w:hAnsi="宋体" w:cs="宋体"/>
                <w:b/>
                <w:bCs/>
                <w:snapToGrid w:val="0"/>
                <w:color w:val="auto"/>
                <w:spacing w:val="-2"/>
                <w:kern w:val="0"/>
                <w:sz w:val="24"/>
                <w:highlight w:val="none"/>
              </w:rPr>
              <w:t>身份证明</w:t>
            </w:r>
          </w:p>
          <w:p w14:paraId="37CEF3D1">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正面复印件）</w:t>
            </w:r>
          </w:p>
        </w:tc>
        <w:tc>
          <w:tcPr>
            <w:tcW w:w="4634" w:type="dxa"/>
          </w:tcPr>
          <w:p w14:paraId="196C6D86">
            <w:pPr>
              <w:spacing w:line="480" w:lineRule="exact"/>
              <w:jc w:val="center"/>
              <w:rPr>
                <w:rFonts w:hint="eastAsia" w:ascii="宋体" w:hAnsi="宋体" w:cs="宋体"/>
                <w:b/>
                <w:bCs/>
                <w:color w:val="auto"/>
                <w:sz w:val="24"/>
                <w:highlight w:val="none"/>
              </w:rPr>
            </w:pPr>
          </w:p>
          <w:p w14:paraId="25DFB990">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（附：法定代表人或负责人身份证反面</w:t>
            </w:r>
          </w:p>
          <w:p w14:paraId="29B0686B">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复印件）</w:t>
            </w:r>
          </w:p>
        </w:tc>
      </w:tr>
    </w:tbl>
    <w:p w14:paraId="4E92D8C1">
      <w:pPr>
        <w:widowControl/>
        <w:kinsoku w:val="0"/>
        <w:autoSpaceDE w:val="0"/>
        <w:autoSpaceDN w:val="0"/>
        <w:adjustRightInd w:val="0"/>
        <w:snapToGrid w:val="0"/>
        <w:spacing w:line="252" w:lineRule="auto"/>
        <w:jc w:val="left"/>
        <w:textAlignment w:val="baseline"/>
        <w:rPr>
          <w:rFonts w:hint="eastAsia" w:ascii="宋体" w:hAnsi="宋体" w:cs="宋体"/>
          <w:snapToGrid w:val="0"/>
          <w:color w:val="auto"/>
          <w:kern w:val="0"/>
          <w:sz w:val="24"/>
          <w:highlight w:val="none"/>
        </w:rPr>
      </w:pPr>
    </w:p>
    <w:p w14:paraId="7292430B">
      <w:pPr>
        <w:widowControl/>
        <w:kinsoku w:val="0"/>
        <w:autoSpaceDE w:val="0"/>
        <w:autoSpaceDN w:val="0"/>
        <w:adjustRightInd w:val="0"/>
        <w:snapToGrid w:val="0"/>
        <w:spacing w:line="252" w:lineRule="auto"/>
        <w:jc w:val="left"/>
        <w:textAlignment w:val="baseline"/>
        <w:rPr>
          <w:rFonts w:hint="eastAsia" w:ascii="宋体" w:hAnsi="宋体" w:cs="宋体"/>
          <w:snapToGrid w:val="0"/>
          <w:color w:val="auto"/>
          <w:kern w:val="0"/>
          <w:sz w:val="24"/>
          <w:highlight w:val="none"/>
        </w:rPr>
      </w:pPr>
    </w:p>
    <w:p w14:paraId="70230284">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lang w:eastAsia="zh-CN"/>
        </w:rPr>
        <w:t>投标人</w:t>
      </w:r>
      <w:r>
        <w:rPr>
          <w:rFonts w:hint="eastAsia" w:ascii="宋体" w:hAnsi="宋体" w:cs="宋体"/>
          <w:color w:val="auto"/>
          <w:sz w:val="24"/>
          <w:highlight w:val="none"/>
        </w:rPr>
        <w:t xml:space="preserve">电子公章： </w:t>
      </w:r>
    </w:p>
    <w:p w14:paraId="0A24762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33D61EF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386EF7A5">
      <w:pPr>
        <w:spacing w:line="246" w:lineRule="auto"/>
        <w:rPr>
          <w:rFonts w:ascii="Arial"/>
          <w:color w:val="auto"/>
          <w:highlight w:val="none"/>
        </w:rPr>
      </w:pPr>
    </w:p>
    <w:p w14:paraId="141F4FD5">
      <w:pPr>
        <w:spacing w:line="246" w:lineRule="auto"/>
        <w:rPr>
          <w:rFonts w:ascii="Arial"/>
          <w:color w:val="auto"/>
          <w:highlight w:val="none"/>
        </w:rPr>
      </w:pPr>
    </w:p>
    <w:p w14:paraId="10465E85">
      <w:pPr>
        <w:spacing w:line="246" w:lineRule="auto"/>
        <w:rPr>
          <w:rFonts w:ascii="Arial"/>
          <w:color w:val="auto"/>
          <w:highlight w:val="none"/>
        </w:rPr>
      </w:pPr>
    </w:p>
    <w:p w14:paraId="76A4DA5F">
      <w:pPr>
        <w:spacing w:line="246" w:lineRule="auto"/>
        <w:rPr>
          <w:rFonts w:ascii="Arial"/>
          <w:color w:val="auto"/>
          <w:highlight w:val="none"/>
        </w:rPr>
      </w:pPr>
    </w:p>
    <w:p w14:paraId="003A3749">
      <w:pPr>
        <w:pStyle w:val="18"/>
        <w:spacing w:before="318" w:line="219" w:lineRule="auto"/>
        <w:ind w:left="3671"/>
        <w:rPr>
          <w:rFonts w:hint="eastAsia" w:ascii="宋体" w:hAnsi="宋体" w:cs="宋体"/>
          <w:b/>
          <w:bCs/>
          <w:color w:val="auto"/>
          <w:sz w:val="28"/>
          <w:szCs w:val="28"/>
          <w:highlight w:val="none"/>
        </w:rPr>
      </w:pPr>
      <w:r>
        <w:rPr>
          <w:rFonts w:hint="eastAsia" w:ascii="宋体" w:hAnsi="宋体" w:cs="宋体"/>
          <w:b/>
          <w:bCs/>
          <w:color w:val="auto"/>
          <w:spacing w:val="-3"/>
          <w:sz w:val="28"/>
          <w:szCs w:val="28"/>
          <w:highlight w:val="none"/>
        </w:rPr>
        <w:t>授权委托书</w:t>
      </w:r>
    </w:p>
    <w:p w14:paraId="5467ABCF">
      <w:pPr>
        <w:spacing w:line="360" w:lineRule="auto"/>
        <w:ind w:firstLine="480" w:firstLineChars="200"/>
        <w:rPr>
          <w:rFonts w:hint="eastAsia" w:ascii="宋体" w:hAnsi="宋体" w:cs="宋体"/>
          <w:color w:val="auto"/>
          <w:sz w:val="24"/>
          <w:highlight w:val="none"/>
        </w:rPr>
      </w:pPr>
    </w:p>
    <w:p w14:paraId="2836F832">
      <w:pPr>
        <w:spacing w:before="65" w:line="360" w:lineRule="auto"/>
        <w:ind w:right="32" w:firstLine="516" w:firstLineChars="200"/>
        <w:rPr>
          <w:rFonts w:hint="eastAsia" w:ascii="宋体" w:hAnsi="宋体" w:cs="宋体"/>
          <w:color w:val="auto"/>
          <w:sz w:val="24"/>
          <w:highlight w:val="none"/>
        </w:rPr>
      </w:pPr>
      <w:r>
        <w:rPr>
          <w:rFonts w:hint="eastAsia" w:ascii="宋体" w:hAnsi="宋体" w:cs="宋体"/>
          <w:color w:val="auto"/>
          <w:spacing w:val="9"/>
          <w:sz w:val="24"/>
          <w:highlight w:val="none"/>
        </w:rPr>
        <w:t xml:space="preserve">本人 </w:t>
      </w:r>
      <w:r>
        <w:rPr>
          <w:rFonts w:hint="eastAsia" w:ascii="宋体" w:hAnsi="宋体" w:cs="宋体"/>
          <w:color w:val="auto"/>
          <w:spacing w:val="9"/>
          <w:sz w:val="24"/>
          <w:highlight w:val="none"/>
          <w:u w:val="single"/>
        </w:rPr>
        <w:t xml:space="preserve">       </w:t>
      </w:r>
      <w:r>
        <w:rPr>
          <w:rFonts w:hint="eastAsia" w:ascii="宋体" w:hAnsi="宋体" w:cs="宋体"/>
          <w:color w:val="auto"/>
          <w:spacing w:val="9"/>
          <w:sz w:val="24"/>
          <w:highlight w:val="none"/>
        </w:rPr>
        <w:t>（姓名</w:t>
      </w:r>
      <w:r>
        <w:rPr>
          <w:rFonts w:hint="eastAsia" w:ascii="宋体" w:hAnsi="宋体" w:cs="宋体"/>
          <w:color w:val="auto"/>
          <w:spacing w:val="-7"/>
          <w:sz w:val="24"/>
          <w:highlight w:val="none"/>
        </w:rPr>
        <w:t>）</w:t>
      </w:r>
      <w:r>
        <w:rPr>
          <w:rFonts w:hint="eastAsia" w:ascii="宋体" w:hAnsi="宋体" w:cs="宋体"/>
          <w:color w:val="auto"/>
          <w:spacing w:val="5"/>
          <w:sz w:val="24"/>
          <w:highlight w:val="none"/>
          <w:u w:val="single"/>
        </w:rPr>
        <w:t xml:space="preserve">             </w:t>
      </w:r>
      <w:r>
        <w:rPr>
          <w:rFonts w:hint="eastAsia" w:ascii="宋体" w:hAnsi="宋体" w:cs="宋体"/>
          <w:color w:val="auto"/>
          <w:spacing w:val="-7"/>
          <w:sz w:val="24"/>
          <w:highlight w:val="none"/>
          <w:u w:val="single"/>
        </w:rPr>
        <w:t>（</w:t>
      </w:r>
      <w:r>
        <w:rPr>
          <w:rFonts w:hint="eastAsia" w:ascii="宋体" w:hAnsi="宋体" w:cs="宋体"/>
          <w:color w:val="auto"/>
          <w:spacing w:val="9"/>
          <w:sz w:val="24"/>
          <w:highlight w:val="none"/>
          <w:u w:val="single"/>
        </w:rPr>
        <w:t>身份证号）</w:t>
      </w:r>
      <w:r>
        <w:rPr>
          <w:rFonts w:hint="eastAsia" w:ascii="宋体" w:hAnsi="宋体" w:cs="宋体"/>
          <w:color w:val="auto"/>
          <w:spacing w:val="9"/>
          <w:sz w:val="24"/>
          <w:highlight w:val="none"/>
        </w:rPr>
        <w:t>系</w:t>
      </w:r>
      <w:r>
        <w:rPr>
          <w:rFonts w:hint="eastAsia" w:ascii="宋体" w:hAnsi="宋体" w:cs="宋体"/>
          <w:color w:val="auto"/>
          <w:spacing w:val="-92"/>
          <w:sz w:val="24"/>
          <w:highlight w:val="none"/>
        </w:rPr>
        <w:t xml:space="preserve"> </w:t>
      </w:r>
      <w:r>
        <w:rPr>
          <w:rFonts w:hint="eastAsia" w:ascii="宋体" w:hAnsi="宋体" w:cs="宋体"/>
          <w:color w:val="auto"/>
          <w:spacing w:val="4"/>
          <w:sz w:val="24"/>
          <w:highlight w:val="none"/>
          <w:u w:val="single"/>
        </w:rPr>
        <w:t xml:space="preserve">            </w:t>
      </w:r>
      <w:r>
        <w:rPr>
          <w:rFonts w:hint="eastAsia" w:ascii="宋体" w:hAnsi="宋体" w:cs="宋体"/>
          <w:color w:val="auto"/>
          <w:spacing w:val="9"/>
          <w:sz w:val="24"/>
          <w:highlight w:val="none"/>
        </w:rPr>
        <w:t>（投标人名称）的</w:t>
      </w:r>
      <w:r>
        <w:rPr>
          <w:rFonts w:hint="eastAsia" w:ascii="宋体" w:hAnsi="宋体" w:cs="宋体"/>
          <w:color w:val="auto"/>
          <w:sz w:val="24"/>
          <w:highlight w:val="none"/>
        </w:rPr>
        <w:t>法定代表人或负责人</w:t>
      </w:r>
      <w:r>
        <w:rPr>
          <w:rFonts w:hint="eastAsia" w:ascii="宋体" w:hAnsi="宋体" w:cs="宋体"/>
          <w:color w:val="auto"/>
          <w:spacing w:val="9"/>
          <w:sz w:val="24"/>
          <w:highlight w:val="none"/>
        </w:rPr>
        <w:t>，</w:t>
      </w:r>
      <w:r>
        <w:rPr>
          <w:rFonts w:hint="eastAsia" w:ascii="宋体" w:hAnsi="宋体" w:cs="宋体"/>
          <w:color w:val="auto"/>
          <w:spacing w:val="10"/>
          <w:sz w:val="24"/>
          <w:highlight w:val="none"/>
        </w:rPr>
        <w:t>现委托</w:t>
      </w:r>
      <w:r>
        <w:rPr>
          <w:rFonts w:hint="eastAsia" w:ascii="宋体" w:hAnsi="宋体" w:cs="宋体"/>
          <w:color w:val="auto"/>
          <w:spacing w:val="-97"/>
          <w:sz w:val="24"/>
          <w:highlight w:val="none"/>
        </w:rPr>
        <w:t xml:space="preserve"> </w:t>
      </w:r>
      <w:r>
        <w:rPr>
          <w:rFonts w:hint="eastAsia" w:ascii="宋体" w:hAnsi="宋体" w:cs="宋体"/>
          <w:color w:val="auto"/>
          <w:spacing w:val="5"/>
          <w:sz w:val="24"/>
          <w:highlight w:val="none"/>
          <w:u w:val="single"/>
        </w:rPr>
        <w:t xml:space="preserve">      </w:t>
      </w:r>
      <w:r>
        <w:rPr>
          <w:rFonts w:hint="eastAsia" w:ascii="宋体" w:hAnsi="宋体" w:cs="宋体"/>
          <w:color w:val="auto"/>
          <w:spacing w:val="10"/>
          <w:sz w:val="24"/>
          <w:highlight w:val="none"/>
        </w:rPr>
        <w:t>（姓名</w:t>
      </w:r>
      <w:r>
        <w:rPr>
          <w:rFonts w:hint="eastAsia" w:ascii="宋体" w:hAnsi="宋体" w:cs="宋体"/>
          <w:color w:val="auto"/>
          <w:spacing w:val="-8"/>
          <w:sz w:val="24"/>
          <w:highlight w:val="none"/>
        </w:rPr>
        <w:t>）</w:t>
      </w:r>
      <w:r>
        <w:rPr>
          <w:rFonts w:hint="eastAsia" w:ascii="宋体" w:hAnsi="宋体" w:cs="宋体"/>
          <w:color w:val="auto"/>
          <w:spacing w:val="5"/>
          <w:sz w:val="24"/>
          <w:highlight w:val="none"/>
          <w:u w:val="single"/>
        </w:rPr>
        <w:t xml:space="preserve">            </w:t>
      </w:r>
      <w:r>
        <w:rPr>
          <w:rFonts w:hint="eastAsia" w:ascii="宋体" w:hAnsi="宋体" w:cs="宋体"/>
          <w:color w:val="auto"/>
          <w:spacing w:val="-8"/>
          <w:sz w:val="24"/>
          <w:highlight w:val="none"/>
          <w:u w:val="single"/>
        </w:rPr>
        <w:t>（</w:t>
      </w:r>
      <w:r>
        <w:rPr>
          <w:rFonts w:hint="eastAsia" w:ascii="宋体" w:hAnsi="宋体" w:cs="宋体"/>
          <w:color w:val="auto"/>
          <w:spacing w:val="10"/>
          <w:sz w:val="24"/>
          <w:highlight w:val="none"/>
          <w:u w:val="single"/>
        </w:rPr>
        <w:t>身份证号）</w:t>
      </w:r>
      <w:r>
        <w:rPr>
          <w:rFonts w:hint="eastAsia" w:ascii="宋体" w:hAnsi="宋体" w:cs="宋体"/>
          <w:color w:val="auto"/>
          <w:spacing w:val="10"/>
          <w:sz w:val="24"/>
          <w:highlight w:val="none"/>
        </w:rPr>
        <w:t>为我方代理人。代理人根据授权，以我方名义签署、澄</w:t>
      </w:r>
      <w:r>
        <w:rPr>
          <w:rFonts w:hint="eastAsia" w:ascii="宋体" w:hAnsi="宋体" w:cs="宋体"/>
          <w:color w:val="auto"/>
          <w:sz w:val="24"/>
          <w:highlight w:val="none"/>
        </w:rPr>
        <w:t xml:space="preserve"> </w:t>
      </w:r>
      <w:r>
        <w:rPr>
          <w:rFonts w:hint="eastAsia" w:ascii="宋体" w:hAnsi="宋体" w:cs="宋体"/>
          <w:color w:val="auto"/>
          <w:spacing w:val="9"/>
          <w:sz w:val="24"/>
          <w:highlight w:val="none"/>
        </w:rPr>
        <w:t>清、说明、补正、递交、撤回、修改</w:t>
      </w:r>
      <w:r>
        <w:rPr>
          <w:rFonts w:hint="eastAsia" w:ascii="宋体" w:hAnsi="宋体" w:cs="宋体"/>
          <w:color w:val="auto"/>
          <w:spacing w:val="-99"/>
          <w:sz w:val="24"/>
          <w:highlight w:val="none"/>
        </w:rPr>
        <w:t xml:space="preserve"> </w:t>
      </w:r>
      <w:r>
        <w:rPr>
          <w:rFonts w:hint="eastAsia" w:ascii="宋体" w:hAnsi="宋体" w:cs="宋体"/>
          <w:color w:val="auto"/>
          <w:spacing w:val="9"/>
          <w:sz w:val="24"/>
          <w:highlight w:val="none"/>
          <w:u w:val="single"/>
        </w:rPr>
        <w:t xml:space="preserve">            </w:t>
      </w:r>
      <w:r>
        <w:rPr>
          <w:rFonts w:hint="eastAsia" w:ascii="宋体" w:hAnsi="宋体" w:cs="宋体"/>
          <w:color w:val="auto"/>
          <w:spacing w:val="9"/>
          <w:sz w:val="24"/>
          <w:highlight w:val="none"/>
        </w:rPr>
        <w:t>（项目名</w:t>
      </w:r>
      <w:r>
        <w:rPr>
          <w:rFonts w:hint="eastAsia" w:ascii="宋体" w:hAnsi="宋体" w:cs="宋体"/>
          <w:color w:val="auto"/>
          <w:spacing w:val="8"/>
          <w:sz w:val="24"/>
          <w:highlight w:val="none"/>
        </w:rPr>
        <w:t>称）投标文件、签订合同和处理有关事宜，其法律</w:t>
      </w:r>
      <w:r>
        <w:rPr>
          <w:rFonts w:hint="eastAsia" w:ascii="宋体" w:hAnsi="宋体" w:cs="宋体"/>
          <w:color w:val="auto"/>
          <w:spacing w:val="7"/>
          <w:sz w:val="24"/>
          <w:highlight w:val="none"/>
        </w:rPr>
        <w:t>后果由我方承担。</w:t>
      </w:r>
    </w:p>
    <w:p w14:paraId="5FDC6FC7">
      <w:pPr>
        <w:spacing w:before="33" w:line="360" w:lineRule="auto"/>
        <w:ind w:left="479"/>
        <w:rPr>
          <w:rFonts w:hint="eastAsia" w:ascii="宋体" w:hAnsi="宋体" w:cs="宋体"/>
          <w:color w:val="auto"/>
          <w:sz w:val="24"/>
          <w:highlight w:val="none"/>
        </w:rPr>
      </w:pPr>
      <w:r>
        <w:rPr>
          <w:rFonts w:hint="eastAsia" w:ascii="宋体" w:hAnsi="宋体" w:cs="宋体"/>
          <w:color w:val="auto"/>
          <w:spacing w:val="5"/>
          <w:sz w:val="24"/>
          <w:highlight w:val="none"/>
        </w:rPr>
        <w:t>委托期限：</w:t>
      </w:r>
      <w:r>
        <w:rPr>
          <w:rFonts w:hint="eastAsia" w:ascii="宋体" w:hAnsi="宋体" w:cs="宋体"/>
          <w:color w:val="auto"/>
          <w:spacing w:val="5"/>
          <w:sz w:val="24"/>
          <w:highlight w:val="none"/>
          <w:u w:val="single"/>
        </w:rPr>
        <w:t xml:space="preserve">             </w:t>
      </w:r>
      <w:r>
        <w:rPr>
          <w:rFonts w:hint="eastAsia" w:ascii="宋体" w:hAnsi="宋体" w:cs="宋体"/>
          <w:color w:val="auto"/>
          <w:spacing w:val="5"/>
          <w:sz w:val="24"/>
          <w:highlight w:val="none"/>
        </w:rPr>
        <w:t>。</w:t>
      </w:r>
    </w:p>
    <w:p w14:paraId="2384FCFD">
      <w:pPr>
        <w:spacing w:before="227" w:line="228" w:lineRule="auto"/>
        <w:ind w:left="479"/>
        <w:rPr>
          <w:rFonts w:hint="eastAsia" w:ascii="宋体" w:hAnsi="宋体" w:cs="宋体"/>
          <w:color w:val="auto"/>
          <w:sz w:val="24"/>
          <w:highlight w:val="none"/>
        </w:rPr>
      </w:pPr>
      <w:r>
        <w:rPr>
          <w:rFonts w:hint="eastAsia" w:ascii="宋体" w:hAnsi="宋体" w:cs="宋体"/>
          <w:color w:val="auto"/>
          <w:spacing w:val="7"/>
          <w:sz w:val="24"/>
          <w:highlight w:val="none"/>
        </w:rPr>
        <w:t>代理人无转委托权。</w:t>
      </w:r>
    </w:p>
    <w:tbl>
      <w:tblPr>
        <w:tblStyle w:val="35"/>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0C220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tcPr>
          <w:p w14:paraId="4E969D82">
            <w:pPr>
              <w:spacing w:line="480" w:lineRule="exact"/>
              <w:rPr>
                <w:rFonts w:hint="eastAsia" w:ascii="宋体" w:hAnsi="宋体" w:cs="宋体"/>
                <w:b/>
                <w:bCs/>
                <w:color w:val="auto"/>
                <w:sz w:val="24"/>
                <w:highlight w:val="none"/>
              </w:rPr>
            </w:pPr>
          </w:p>
          <w:p w14:paraId="5CBCB130">
            <w:pPr>
              <w:spacing w:line="480" w:lineRule="exact"/>
              <w:rPr>
                <w:rFonts w:hint="eastAsia" w:ascii="宋体" w:hAnsi="宋体" w:cs="宋体"/>
                <w:b/>
                <w:bCs/>
                <w:color w:val="auto"/>
                <w:sz w:val="24"/>
                <w:highlight w:val="none"/>
              </w:rPr>
            </w:pPr>
          </w:p>
          <w:p w14:paraId="2332BAA2">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（附：法定代表人或负责人</w:t>
            </w:r>
            <w:r>
              <w:rPr>
                <w:rFonts w:hint="eastAsia" w:ascii="宋体" w:hAnsi="宋体" w:cs="宋体"/>
                <w:b/>
                <w:bCs/>
                <w:snapToGrid w:val="0"/>
                <w:color w:val="auto"/>
                <w:spacing w:val="-2"/>
                <w:kern w:val="0"/>
                <w:sz w:val="24"/>
                <w:highlight w:val="none"/>
              </w:rPr>
              <w:t>身份证明</w:t>
            </w:r>
            <w:r>
              <w:rPr>
                <w:rFonts w:hint="eastAsia" w:ascii="宋体" w:hAnsi="宋体" w:cs="宋体"/>
                <w:b/>
                <w:bCs/>
                <w:color w:val="auto"/>
                <w:sz w:val="24"/>
                <w:highlight w:val="none"/>
              </w:rPr>
              <w:t>正面复印件）</w:t>
            </w:r>
          </w:p>
        </w:tc>
        <w:tc>
          <w:tcPr>
            <w:tcW w:w="4634" w:type="dxa"/>
          </w:tcPr>
          <w:p w14:paraId="576D0A8D">
            <w:pPr>
              <w:spacing w:line="480" w:lineRule="exact"/>
              <w:jc w:val="center"/>
              <w:rPr>
                <w:rFonts w:hint="eastAsia" w:ascii="宋体" w:hAnsi="宋体" w:cs="宋体"/>
                <w:b/>
                <w:bCs/>
                <w:color w:val="auto"/>
                <w:sz w:val="24"/>
                <w:highlight w:val="none"/>
              </w:rPr>
            </w:pPr>
          </w:p>
          <w:p w14:paraId="2DEACA15">
            <w:pPr>
              <w:spacing w:line="480" w:lineRule="exact"/>
              <w:jc w:val="center"/>
              <w:rPr>
                <w:rFonts w:hint="eastAsia" w:ascii="宋体" w:hAnsi="宋体" w:cs="宋体"/>
                <w:b/>
                <w:bCs/>
                <w:color w:val="auto"/>
                <w:sz w:val="24"/>
                <w:highlight w:val="none"/>
              </w:rPr>
            </w:pPr>
          </w:p>
          <w:p w14:paraId="4BAB5E17">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（附：法定代表人或负责人身份证反面复印件）</w:t>
            </w:r>
          </w:p>
        </w:tc>
      </w:tr>
    </w:tbl>
    <w:p w14:paraId="5CD70C44">
      <w:pPr>
        <w:rPr>
          <w:rFonts w:hint="eastAsia"/>
          <w:color w:val="auto"/>
          <w:highlight w:val="none"/>
        </w:rPr>
      </w:pPr>
    </w:p>
    <w:tbl>
      <w:tblPr>
        <w:tblStyle w:val="35"/>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5BD43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tcPr>
          <w:p w14:paraId="34213828">
            <w:pPr>
              <w:spacing w:line="480" w:lineRule="exact"/>
              <w:rPr>
                <w:rFonts w:hint="eastAsia" w:ascii="宋体" w:hAnsi="宋体" w:cs="宋体"/>
                <w:b/>
                <w:bCs/>
                <w:color w:val="auto"/>
                <w:sz w:val="24"/>
                <w:highlight w:val="none"/>
              </w:rPr>
            </w:pPr>
          </w:p>
          <w:p w14:paraId="46998847">
            <w:pPr>
              <w:spacing w:line="480" w:lineRule="exact"/>
              <w:rPr>
                <w:rFonts w:hint="eastAsia" w:ascii="宋体" w:hAnsi="宋体" w:cs="宋体"/>
                <w:b/>
                <w:bCs/>
                <w:color w:val="auto"/>
                <w:sz w:val="24"/>
                <w:highlight w:val="none"/>
              </w:rPr>
            </w:pPr>
          </w:p>
          <w:p w14:paraId="418E7E5D">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（附：被委托人身份证正面复印件）</w:t>
            </w:r>
          </w:p>
        </w:tc>
        <w:tc>
          <w:tcPr>
            <w:tcW w:w="4634" w:type="dxa"/>
          </w:tcPr>
          <w:p w14:paraId="3B41C6EF">
            <w:pPr>
              <w:spacing w:line="480" w:lineRule="exact"/>
              <w:jc w:val="center"/>
              <w:rPr>
                <w:rFonts w:hint="eastAsia" w:ascii="宋体" w:hAnsi="宋体" w:cs="宋体"/>
                <w:b/>
                <w:bCs/>
                <w:color w:val="auto"/>
                <w:sz w:val="24"/>
                <w:highlight w:val="none"/>
              </w:rPr>
            </w:pPr>
          </w:p>
          <w:p w14:paraId="6E53A925">
            <w:pPr>
              <w:spacing w:line="480" w:lineRule="exact"/>
              <w:jc w:val="center"/>
              <w:rPr>
                <w:rFonts w:hint="eastAsia" w:ascii="宋体" w:hAnsi="宋体" w:cs="宋体"/>
                <w:b/>
                <w:bCs/>
                <w:color w:val="auto"/>
                <w:sz w:val="24"/>
                <w:highlight w:val="none"/>
              </w:rPr>
            </w:pPr>
          </w:p>
          <w:p w14:paraId="1A2F5988">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（附：被委托人身份证反面复印件）</w:t>
            </w:r>
          </w:p>
        </w:tc>
      </w:tr>
    </w:tbl>
    <w:p w14:paraId="072B9937">
      <w:pPr>
        <w:pStyle w:val="18"/>
        <w:spacing w:line="276" w:lineRule="auto"/>
        <w:rPr>
          <w:rFonts w:hint="eastAsia" w:ascii="宋体" w:hAnsi="宋体" w:cs="宋体"/>
          <w:color w:val="auto"/>
          <w:sz w:val="24"/>
          <w:highlight w:val="none"/>
        </w:rPr>
      </w:pPr>
    </w:p>
    <w:p w14:paraId="2EA187E2">
      <w:pPr>
        <w:spacing w:before="66" w:line="227" w:lineRule="auto"/>
        <w:ind w:left="3993"/>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eastAsia="zh-CN"/>
        </w:rPr>
        <w:t>投标人</w:t>
      </w:r>
      <w:r>
        <w:rPr>
          <w:rFonts w:hint="eastAsia" w:ascii="宋体" w:hAnsi="宋体" w:cs="宋体"/>
          <w:color w:val="auto"/>
          <w:sz w:val="24"/>
          <w:highlight w:val="none"/>
        </w:rPr>
        <w:t>电子签章：</w:t>
      </w:r>
      <w:r>
        <w:rPr>
          <w:rFonts w:hint="eastAsia" w:ascii="宋体" w:hAnsi="宋体" w:cs="宋体"/>
          <w:color w:val="auto"/>
          <w:spacing w:val="5"/>
          <w:sz w:val="24"/>
          <w:highlight w:val="none"/>
          <w:u w:val="single"/>
        </w:rPr>
        <w:t xml:space="preserve">             </w:t>
      </w:r>
      <w:r>
        <w:rPr>
          <w:rFonts w:hint="eastAsia" w:ascii="宋体" w:hAnsi="宋体" w:cs="宋体"/>
          <w:color w:val="auto"/>
          <w:spacing w:val="5"/>
          <w:sz w:val="24"/>
          <w:highlight w:val="none"/>
          <w:u w:val="single"/>
          <w:lang w:val="en-US" w:eastAsia="zh-CN"/>
        </w:rPr>
        <w:t xml:space="preserve">      </w:t>
      </w:r>
    </w:p>
    <w:p w14:paraId="05E6A5B9">
      <w:pPr>
        <w:spacing w:before="299" w:line="227" w:lineRule="auto"/>
        <w:ind w:left="5940" w:leftChars="1800" w:hanging="2160" w:hangingChars="900"/>
        <w:rPr>
          <w:rFonts w:hint="eastAsia" w:ascii="宋体" w:hAnsi="宋体" w:cs="宋体"/>
          <w:color w:val="auto"/>
          <w:spacing w:val="4"/>
          <w:sz w:val="24"/>
          <w:highlight w:val="none"/>
          <w:u w:val="single"/>
        </w:rPr>
      </w:pPr>
      <w:r>
        <w:rPr>
          <w:rFonts w:hint="eastAsia" w:ascii="宋体" w:hAnsi="宋体" w:cs="宋体"/>
          <w:color w:val="auto"/>
          <w:sz w:val="24"/>
          <w:highlight w:val="none"/>
        </w:rPr>
        <w:t>法定代表人</w:t>
      </w:r>
      <w:r>
        <w:rPr>
          <w:rFonts w:hint="eastAsia" w:ascii="宋体" w:hAnsi="宋体" w:cs="宋体"/>
          <w:color w:val="auto"/>
          <w:sz w:val="24"/>
          <w:highlight w:val="none"/>
          <w:lang w:eastAsia="zh-CN"/>
        </w:rPr>
        <w:t>（</w:t>
      </w:r>
      <w:r>
        <w:rPr>
          <w:rFonts w:hint="eastAsia" w:ascii="宋体" w:hAnsi="宋体" w:cs="宋体"/>
          <w:color w:val="auto"/>
          <w:sz w:val="24"/>
          <w:highlight w:val="none"/>
        </w:rPr>
        <w:t>或负责人</w:t>
      </w:r>
      <w:r>
        <w:rPr>
          <w:rFonts w:hint="eastAsia" w:ascii="宋体" w:hAnsi="宋体" w:cs="宋体"/>
          <w:color w:val="auto"/>
          <w:sz w:val="24"/>
          <w:highlight w:val="none"/>
          <w:lang w:eastAsia="zh-CN"/>
        </w:rPr>
        <w:t>）</w:t>
      </w:r>
      <w:r>
        <w:rPr>
          <w:rFonts w:hint="eastAsia" w:ascii="宋体" w:hAnsi="宋体" w:cs="宋体"/>
          <w:color w:val="auto"/>
          <w:spacing w:val="-5"/>
          <w:sz w:val="24"/>
          <w:highlight w:val="none"/>
        </w:rPr>
        <w:t>：</w:t>
      </w:r>
      <w:r>
        <w:rPr>
          <w:rFonts w:hint="eastAsia" w:ascii="宋体" w:hAnsi="宋体" w:cs="宋体"/>
          <w:color w:val="auto"/>
          <w:spacing w:val="5"/>
          <w:sz w:val="24"/>
          <w:highlight w:val="none"/>
          <w:u w:val="single"/>
        </w:rPr>
        <w:t xml:space="preserve">    </w:t>
      </w:r>
      <w:r>
        <w:rPr>
          <w:rFonts w:hint="eastAsia" w:ascii="宋体" w:hAnsi="宋体" w:cs="宋体"/>
          <w:color w:val="auto"/>
          <w:spacing w:val="-5"/>
          <w:sz w:val="24"/>
          <w:highlight w:val="none"/>
          <w:u w:val="single"/>
        </w:rPr>
        <w:t>（</w:t>
      </w:r>
      <w:r>
        <w:rPr>
          <w:rFonts w:hint="eastAsia" w:ascii="宋体" w:hAnsi="宋体" w:cs="宋体"/>
          <w:color w:val="auto"/>
          <w:spacing w:val="10"/>
          <w:sz w:val="24"/>
          <w:highlight w:val="none"/>
          <w:u w:val="single"/>
        </w:rPr>
        <w:t>签字）</w:t>
      </w:r>
      <w:r>
        <w:rPr>
          <w:rFonts w:hint="eastAsia" w:ascii="宋体" w:hAnsi="宋体" w:cs="宋体"/>
          <w:color w:val="auto"/>
          <w:spacing w:val="4"/>
          <w:sz w:val="24"/>
          <w:highlight w:val="none"/>
          <w:u w:val="single"/>
        </w:rPr>
        <w:t xml:space="preserve">  </w:t>
      </w:r>
    </w:p>
    <w:p w14:paraId="7C705BA8">
      <w:pPr>
        <w:spacing w:before="299" w:line="227" w:lineRule="auto"/>
        <w:ind w:left="5935" w:leftChars="2826" w:firstLine="58" w:firstLineChars="100"/>
        <w:rPr>
          <w:rFonts w:hint="eastAsia" w:ascii="宋体" w:hAnsi="宋体" w:cs="宋体"/>
          <w:color w:val="auto"/>
          <w:spacing w:val="-14"/>
          <w:sz w:val="24"/>
          <w:highlight w:val="none"/>
        </w:rPr>
      </w:pPr>
      <w:r>
        <w:rPr>
          <w:rFonts w:hint="eastAsia" w:ascii="宋体" w:hAnsi="宋体" w:cs="宋体"/>
          <w:color w:val="auto"/>
          <w:spacing w:val="-91"/>
          <w:sz w:val="24"/>
          <w:highlight w:val="none"/>
        </w:rPr>
        <w:t xml:space="preserve"> </w:t>
      </w:r>
      <w:r>
        <w:rPr>
          <w:rFonts w:hint="eastAsia" w:ascii="宋体" w:hAnsi="宋体" w:cs="宋体"/>
          <w:color w:val="auto"/>
          <w:spacing w:val="-14"/>
          <w:sz w:val="24"/>
          <w:highlight w:val="none"/>
        </w:rPr>
        <w:t xml:space="preserve">年      </w:t>
      </w:r>
      <w:r>
        <w:rPr>
          <w:rFonts w:hint="eastAsia" w:ascii="宋体" w:hAnsi="宋体" w:cs="宋体"/>
          <w:color w:val="auto"/>
          <w:spacing w:val="-87"/>
          <w:sz w:val="24"/>
          <w:highlight w:val="none"/>
        </w:rPr>
        <w:t xml:space="preserve"> </w:t>
      </w:r>
      <w:r>
        <w:rPr>
          <w:rFonts w:hint="eastAsia" w:ascii="宋体" w:hAnsi="宋体" w:cs="宋体"/>
          <w:color w:val="auto"/>
          <w:spacing w:val="-14"/>
          <w:sz w:val="24"/>
          <w:highlight w:val="none"/>
        </w:rPr>
        <w:t>月</w:t>
      </w:r>
      <w:r>
        <w:rPr>
          <w:rFonts w:hint="eastAsia" w:ascii="宋体" w:hAnsi="宋体" w:cs="宋体"/>
          <w:color w:val="auto"/>
          <w:spacing w:val="5"/>
          <w:sz w:val="24"/>
          <w:highlight w:val="none"/>
        </w:rPr>
        <w:t xml:space="preserve">    日 </w:t>
      </w:r>
      <w:r>
        <w:rPr>
          <w:rFonts w:hint="eastAsia" w:ascii="宋体" w:hAnsi="宋体" w:cs="宋体"/>
          <w:color w:val="auto"/>
          <w:spacing w:val="-55"/>
          <w:sz w:val="24"/>
          <w:highlight w:val="none"/>
        </w:rPr>
        <w:t xml:space="preserve"> </w:t>
      </w:r>
    </w:p>
    <w:p w14:paraId="7D7937B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023F0224">
      <w:pPr>
        <w:spacing w:line="360" w:lineRule="auto"/>
        <w:jc w:val="center"/>
        <w:rPr>
          <w:rFonts w:hint="eastAsia" w:ascii="宋体" w:hAnsi="宋体" w:cs="宋体"/>
          <w:color w:val="auto"/>
          <w:sz w:val="24"/>
          <w:highlight w:val="none"/>
        </w:rPr>
      </w:pPr>
    </w:p>
    <w:p w14:paraId="640F7C17">
      <w:pPr>
        <w:pStyle w:val="4"/>
        <w:pageBreakBefore/>
        <w:spacing w:line="579" w:lineRule="auto"/>
        <w:jc w:val="left"/>
        <w:rPr>
          <w:rFonts w:hint="eastAsia" w:ascii="宋体" w:hAnsi="宋体" w:cs="宋体"/>
          <w:color w:val="auto"/>
          <w:highlight w:val="none"/>
        </w:rPr>
      </w:pPr>
      <w:r>
        <w:rPr>
          <w:rFonts w:hint="eastAsia" w:ascii="宋体" w:hAnsi="宋体" w:cs="宋体"/>
          <w:color w:val="auto"/>
          <w:highlight w:val="none"/>
        </w:rPr>
        <w:t>附件2：周口市政府采购合同融资政策告知函</w:t>
      </w:r>
    </w:p>
    <w:p w14:paraId="4118605D">
      <w:pPr>
        <w:pStyle w:val="2"/>
        <w:spacing w:line="360" w:lineRule="auto"/>
        <w:ind w:firstLine="240"/>
        <w:rPr>
          <w:rFonts w:hint="eastAsia" w:ascii="宋体" w:hAnsi="宋体" w:cs="宋体"/>
          <w:color w:val="auto"/>
          <w:sz w:val="24"/>
          <w:highlight w:val="none"/>
        </w:rPr>
      </w:pPr>
      <w:r>
        <w:rPr>
          <w:rFonts w:hint="eastAsia" w:ascii="宋体" w:hAnsi="宋体" w:cs="宋体"/>
          <w:color w:val="auto"/>
          <w:sz w:val="24"/>
          <w:highlight w:val="none"/>
        </w:rPr>
        <w:t>各</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w:t>
      </w:r>
    </w:p>
    <w:p w14:paraId="5F3599BD">
      <w:pPr>
        <w:pStyle w:val="2"/>
        <w:spacing w:line="360" w:lineRule="auto"/>
        <w:ind w:firstLine="240"/>
        <w:rPr>
          <w:rFonts w:hint="eastAsia" w:ascii="宋体" w:hAnsi="宋体" w:cs="宋体"/>
          <w:color w:val="auto"/>
          <w:sz w:val="24"/>
          <w:highlight w:val="none"/>
        </w:rPr>
      </w:pPr>
      <w:r>
        <w:rPr>
          <w:rFonts w:hint="eastAsia" w:ascii="宋体" w:hAnsi="宋体" w:cs="宋体"/>
          <w:color w:val="auto"/>
          <w:sz w:val="24"/>
          <w:highlight w:val="none"/>
        </w:rPr>
        <w:t>欢迎贵公司参与周口市政府采购活动！</w:t>
      </w:r>
    </w:p>
    <w:p w14:paraId="2657CC37">
      <w:pPr>
        <w:pStyle w:val="2"/>
        <w:spacing w:line="360" w:lineRule="auto"/>
        <w:ind w:firstLine="240"/>
        <w:rPr>
          <w:rFonts w:hint="eastAsia" w:ascii="宋体" w:hAnsi="宋体" w:cs="宋体"/>
          <w:color w:val="auto"/>
          <w:sz w:val="24"/>
          <w:highlight w:val="none"/>
        </w:rPr>
      </w:pPr>
      <w:r>
        <w:rPr>
          <w:rFonts w:hint="eastAsia" w:ascii="宋体" w:hAnsi="宋体" w:cs="宋体"/>
          <w:color w:val="auto"/>
          <w:sz w:val="24"/>
          <w:highlight w:val="none"/>
        </w:rPr>
        <w:t>政府采购合同融资是河南省财政厅支持中小微企业发展，针对参与政府采购活动的</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融资难、融资贵问题推出的一项融资政策。贵公司若成为本次政府采购项目的中标成交</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，可持政府采购合同向金融机构申请贷款，无需抵押、担保，融资机构将根据《河南省政府采购合同融资工作实施方案》（豫财购〔2017〕10号），按照双方自愿的原则提供便捷、优惠的贷款服务。</w:t>
      </w:r>
    </w:p>
    <w:p w14:paraId="11422AAE">
      <w:pPr>
        <w:pStyle w:val="78"/>
        <w:spacing w:before="0" w:after="0" w:line="360" w:lineRule="auto"/>
        <w:rPr>
          <w:rFonts w:cs="宋体"/>
          <w:color w:val="auto"/>
          <w:highlight w:val="none"/>
        </w:rPr>
      </w:pPr>
      <w:r>
        <w:rPr>
          <w:rFonts w:hint="eastAsia" w:cs="宋体"/>
          <w:color w:val="auto"/>
          <w:highlight w:val="none"/>
        </w:rPr>
        <w:t>贷款渠道和提供贷款的金融机构，可在河南省政府采购网“河南省政府采购合同融资平台”查询联系。</w:t>
      </w:r>
    </w:p>
    <w:p w14:paraId="326C20BD">
      <w:pPr>
        <w:pStyle w:val="78"/>
        <w:spacing w:before="0" w:after="0" w:line="330" w:lineRule="atLeast"/>
        <w:rPr>
          <w:rFonts w:cs="仿宋_GB2312"/>
          <w:b/>
          <w:bCs/>
          <w:color w:val="auto"/>
          <w:sz w:val="21"/>
          <w:szCs w:val="21"/>
          <w:highlight w:val="none"/>
        </w:rPr>
      </w:pPr>
    </w:p>
    <w:p w14:paraId="7930D018">
      <w:pPr>
        <w:pStyle w:val="78"/>
        <w:spacing w:before="0" w:after="0" w:line="330" w:lineRule="atLeast"/>
        <w:rPr>
          <w:rFonts w:cs="仿宋_GB2312"/>
          <w:b/>
          <w:bCs/>
          <w:color w:val="auto"/>
          <w:sz w:val="21"/>
          <w:szCs w:val="21"/>
          <w:highlight w:val="none"/>
        </w:rPr>
      </w:pPr>
    </w:p>
    <w:p w14:paraId="22856A36">
      <w:pPr>
        <w:jc w:val="center"/>
        <w:rPr>
          <w:b/>
          <w:bCs/>
          <w:color w:val="auto"/>
          <w:sz w:val="22"/>
          <w:szCs w:val="22"/>
          <w:highlight w:val="none"/>
        </w:rPr>
      </w:pPr>
    </w:p>
    <w:p w14:paraId="73485A0D">
      <w:pPr>
        <w:jc w:val="center"/>
        <w:rPr>
          <w:b/>
          <w:bCs/>
          <w:color w:val="auto"/>
          <w:sz w:val="22"/>
          <w:szCs w:val="22"/>
          <w:highlight w:val="none"/>
        </w:rPr>
      </w:pPr>
    </w:p>
    <w:p w14:paraId="39B3AD05">
      <w:pPr>
        <w:jc w:val="center"/>
        <w:rPr>
          <w:b/>
          <w:bCs/>
          <w:color w:val="auto"/>
          <w:sz w:val="22"/>
          <w:szCs w:val="22"/>
          <w:highlight w:val="none"/>
        </w:rPr>
      </w:pPr>
    </w:p>
    <w:p w14:paraId="3D015BE1">
      <w:pPr>
        <w:jc w:val="center"/>
        <w:rPr>
          <w:b/>
          <w:bCs/>
          <w:color w:val="auto"/>
          <w:sz w:val="22"/>
          <w:szCs w:val="22"/>
          <w:highlight w:val="none"/>
        </w:rPr>
      </w:pPr>
    </w:p>
    <w:p w14:paraId="782E9004">
      <w:pPr>
        <w:jc w:val="center"/>
        <w:rPr>
          <w:b/>
          <w:bCs/>
          <w:color w:val="auto"/>
          <w:sz w:val="22"/>
          <w:szCs w:val="22"/>
          <w:highlight w:val="none"/>
        </w:rPr>
      </w:pPr>
    </w:p>
    <w:p w14:paraId="2D57DC05">
      <w:pPr>
        <w:jc w:val="center"/>
        <w:rPr>
          <w:b/>
          <w:bCs/>
          <w:color w:val="auto"/>
          <w:sz w:val="22"/>
          <w:szCs w:val="22"/>
          <w:highlight w:val="none"/>
        </w:rPr>
      </w:pPr>
    </w:p>
    <w:p w14:paraId="1EA07B51">
      <w:pPr>
        <w:jc w:val="center"/>
        <w:rPr>
          <w:b/>
          <w:bCs/>
          <w:color w:val="auto"/>
          <w:sz w:val="22"/>
          <w:szCs w:val="22"/>
          <w:highlight w:val="none"/>
        </w:rPr>
      </w:pPr>
    </w:p>
    <w:p w14:paraId="0DA7A18E">
      <w:pPr>
        <w:jc w:val="center"/>
        <w:rPr>
          <w:b/>
          <w:bCs/>
          <w:color w:val="auto"/>
          <w:sz w:val="22"/>
          <w:szCs w:val="22"/>
          <w:highlight w:val="none"/>
        </w:rPr>
      </w:pPr>
    </w:p>
    <w:p w14:paraId="72ED70DE">
      <w:pPr>
        <w:jc w:val="center"/>
        <w:rPr>
          <w:b/>
          <w:bCs/>
          <w:color w:val="auto"/>
          <w:sz w:val="22"/>
          <w:szCs w:val="22"/>
          <w:highlight w:val="none"/>
        </w:rPr>
      </w:pPr>
    </w:p>
    <w:p w14:paraId="1A0FDBE7">
      <w:pPr>
        <w:jc w:val="center"/>
        <w:rPr>
          <w:b/>
          <w:bCs/>
          <w:color w:val="auto"/>
          <w:sz w:val="22"/>
          <w:szCs w:val="22"/>
          <w:highlight w:val="none"/>
        </w:rPr>
      </w:pPr>
    </w:p>
    <w:p w14:paraId="6D73EC14">
      <w:pPr>
        <w:jc w:val="center"/>
        <w:rPr>
          <w:b/>
          <w:bCs/>
          <w:color w:val="auto"/>
          <w:sz w:val="22"/>
          <w:szCs w:val="22"/>
          <w:highlight w:val="none"/>
        </w:rPr>
      </w:pPr>
    </w:p>
    <w:p w14:paraId="1334C031">
      <w:pPr>
        <w:jc w:val="center"/>
        <w:rPr>
          <w:b/>
          <w:bCs/>
          <w:color w:val="auto"/>
          <w:sz w:val="22"/>
          <w:szCs w:val="22"/>
          <w:highlight w:val="none"/>
        </w:rPr>
      </w:pPr>
    </w:p>
    <w:p w14:paraId="69BDD444">
      <w:pPr>
        <w:jc w:val="center"/>
        <w:rPr>
          <w:b/>
          <w:bCs/>
          <w:color w:val="auto"/>
          <w:sz w:val="22"/>
          <w:szCs w:val="22"/>
          <w:highlight w:val="none"/>
        </w:rPr>
      </w:pPr>
    </w:p>
    <w:bookmarkEnd w:id="97"/>
    <w:bookmarkEnd w:id="98"/>
    <w:bookmarkEnd w:id="99"/>
    <w:p w14:paraId="328524F2">
      <w:pPr>
        <w:rPr>
          <w:rFonts w:cs="仿宋_GB2312"/>
          <w:b/>
          <w:bCs/>
          <w:color w:val="auto"/>
          <w:szCs w:val="21"/>
          <w:highlight w:val="none"/>
        </w:rPr>
      </w:pPr>
    </w:p>
    <w:sectPr>
      <w:headerReference r:id="rId7" w:type="default"/>
      <w:footerReference r:id="rId8" w:type="default"/>
      <w:pgSz w:w="11906" w:h="16838"/>
      <w:pgMar w:top="1389" w:right="1304" w:bottom="1440" w:left="1304" w:header="851" w:footer="992" w:gutter="0"/>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ranklin Gothic Heavy">
    <w:altName w:val="Arial Black"/>
    <w:panose1 w:val="020B0903020102020204"/>
    <w:charset w:val="00"/>
    <w:family w:val="swiss"/>
    <w:pitch w:val="default"/>
    <w:sig w:usb0="00000000" w:usb1="00000000" w:usb2="00000000" w:usb3="00000000" w:csb0="2000009F" w:csb1="DFD70000"/>
  </w:font>
  <w:font w:name="Arial Black">
    <w:panose1 w:val="020B0A04020102020204"/>
    <w:charset w:val="00"/>
    <w:family w:val="auto"/>
    <w:pitch w:val="default"/>
    <w:sig w:usb0="A00002AF" w:usb1="400078FB" w:usb2="00000000" w:usb3="00000000" w:csb0="6000009F" w:csb1="DFD7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ˎ̥">
    <w:altName w:val="微软雅黑"/>
    <w:panose1 w:val="00000000000000000000"/>
    <w:charset w:val="00"/>
    <w:family w:val="auto"/>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CG Times">
    <w:altName w:val="Times New Roman"/>
    <w:panose1 w:val="02020603050405020304"/>
    <w:charset w:val="00"/>
    <w:family w:val="auto"/>
    <w:pitch w:val="default"/>
    <w:sig w:usb0="00000000" w:usb1="00000000" w:usb2="00000000" w:usb3="00000000" w:csb0="00000000" w:csb1="00000000"/>
  </w:font>
  <w:font w:name="Times">
    <w:altName w:val="Times New Roman"/>
    <w:panose1 w:val="02020603050405020304"/>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0484E">
    <w:pPr>
      <w:spacing w:line="220" w:lineRule="auto"/>
      <w:ind w:left="4832"/>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E69AA">
    <w:pPr>
      <w:spacing w:line="220" w:lineRule="auto"/>
      <w:ind w:left="48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66890B2">
                          <w:pPr>
                            <w:pStyle w:val="25"/>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XpaxT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rZI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ZelrFMMBAACPAwAADgAAAAAAAAABACAAAAAfAQAAZHJzL2Uyb0RvYy54bWxQ&#10;SwUGAAAAAAYABgBZAQAAVAUAAAAA&#10;">
              <v:fill on="f" focussize="0,0"/>
              <v:stroke on="f"/>
              <v:imagedata o:title=""/>
              <o:lock v:ext="edit" aspectratio="f"/>
              <v:textbox inset="0mm,0mm,0mm,0mm" style="mso-fit-shape-to-text:t;">
                <w:txbxContent>
                  <w:p w14:paraId="266890B2">
                    <w:pPr>
                      <w:pStyle w:val="25"/>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454FD">
    <w:pPr>
      <w:pStyle w:val="25"/>
      <w:tabs>
        <w:tab w:val="clear" w:pos="8306"/>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BDDDD2F">
                          <w:pPr>
                            <w:pStyle w:val="25"/>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KT9uXjEAQAAjwMAAA4AAAAAAAAAAQAgAAAAHwEAAGRycy9lMm9Eb2MueG1s&#10;UEsFBgAAAAAGAAYAWQEAAFUFAAAAAA==&#10;">
              <v:fill on="f" focussize="0,0"/>
              <v:stroke on="f"/>
              <v:imagedata o:title=""/>
              <o:lock v:ext="edit" aspectratio="f"/>
              <v:textbox inset="0mm,0mm,0mm,0mm" style="mso-fit-shape-to-text:t;">
                <w:txbxContent>
                  <w:p w14:paraId="1BDDDD2F">
                    <w:pPr>
                      <w:pStyle w:val="25"/>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2F5F2">
    <w:pPr>
      <w:pStyle w:val="2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singleLevel"/>
    <w:tmpl w:val="0000000B"/>
    <w:lvl w:ilvl="0" w:tentative="0">
      <w:start w:val="3"/>
      <w:numFmt w:val="decimal"/>
      <w:suff w:val="space"/>
      <w:lvlText w:val="%1）"/>
      <w:lvlJc w:val="left"/>
    </w:lvl>
  </w:abstractNum>
  <w:abstractNum w:abstractNumId="1">
    <w:nsid w:val="0000000C"/>
    <w:multiLevelType w:val="singleLevel"/>
    <w:tmpl w:val="0000000C"/>
    <w:lvl w:ilvl="0" w:tentative="0">
      <w:start w:val="1"/>
      <w:numFmt w:val="decimal"/>
      <w:lvlText w:val="（%1）"/>
      <w:lvlJc w:val="left"/>
      <w:pPr>
        <w:tabs>
          <w:tab w:val="left" w:pos="744"/>
        </w:tabs>
        <w:ind w:left="744" w:hanging="744"/>
      </w:pPr>
      <w:rPr>
        <w:rFonts w:hint="eastAsia"/>
      </w:rPr>
    </w:lvl>
  </w:abstractNum>
  <w:abstractNum w:abstractNumId="2">
    <w:nsid w:val="0000000D"/>
    <w:multiLevelType w:val="singleLevel"/>
    <w:tmpl w:val="0000000D"/>
    <w:lvl w:ilvl="0" w:tentative="0">
      <w:start w:val="1"/>
      <w:numFmt w:val="decimal"/>
      <w:lvlText w:val="（%1）"/>
      <w:lvlJc w:val="left"/>
      <w:pPr>
        <w:tabs>
          <w:tab w:val="left" w:pos="810"/>
        </w:tabs>
        <w:ind w:left="810" w:hanging="810"/>
      </w:pPr>
      <w:rPr>
        <w:rFonts w:hint="eastAsia"/>
      </w:rPr>
    </w:lvl>
  </w:abstractNum>
  <w:abstractNum w:abstractNumId="3">
    <w:nsid w:val="0000000E"/>
    <w:multiLevelType w:val="multilevel"/>
    <w:tmpl w:val="0000000E"/>
    <w:lvl w:ilvl="0" w:tentative="0">
      <w:start w:val="1"/>
      <w:numFmt w:val="decimal"/>
      <w:pStyle w:val="334"/>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000000F"/>
    <w:multiLevelType w:val="multilevel"/>
    <w:tmpl w:val="0000000F"/>
    <w:lvl w:ilvl="0" w:tentative="0">
      <w:start w:val="1"/>
      <w:numFmt w:val="decimal"/>
      <w:lvlText w:val="%1"/>
      <w:lvlJc w:val="left"/>
      <w:pPr>
        <w:tabs>
          <w:tab w:val="left" w:pos="2502"/>
        </w:tabs>
        <w:ind w:left="2502" w:hanging="432"/>
      </w:pPr>
      <w:rPr>
        <w:rFonts w:hint="default"/>
      </w:rPr>
    </w:lvl>
    <w:lvl w:ilvl="1" w:tentative="0">
      <w:start w:val="1"/>
      <w:numFmt w:val="decimal"/>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138"/>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5">
    <w:nsid w:val="00000010"/>
    <w:multiLevelType w:val="multilevel"/>
    <w:tmpl w:val="00000010"/>
    <w:lvl w:ilvl="0" w:tentative="0">
      <w:start w:val="1"/>
      <w:numFmt w:val="decimal"/>
      <w:pStyle w:val="413"/>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1"/>
    <w:multiLevelType w:val="multilevel"/>
    <w:tmpl w:val="00000011"/>
    <w:lvl w:ilvl="0" w:tentative="0">
      <w:start w:val="1"/>
      <w:numFmt w:val="decimal"/>
      <w:pStyle w:val="366"/>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179"/>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189"/>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00000012"/>
    <w:multiLevelType w:val="singleLevel"/>
    <w:tmpl w:val="00000012"/>
    <w:lvl w:ilvl="0" w:tentative="0">
      <w:start w:val="7"/>
      <w:numFmt w:val="chineseCounting"/>
      <w:pStyle w:val="241"/>
      <w:suff w:val="nothing"/>
      <w:lvlText w:val="%1、"/>
      <w:lvlJc w:val="left"/>
    </w:lvl>
  </w:abstractNum>
  <w:abstractNum w:abstractNumId="8">
    <w:nsid w:val="00000013"/>
    <w:multiLevelType w:val="singleLevel"/>
    <w:tmpl w:val="00000013"/>
    <w:lvl w:ilvl="0" w:tentative="0">
      <w:start w:val="1"/>
      <w:numFmt w:val="chineseCounting"/>
      <w:pStyle w:val="418"/>
      <w:suff w:val="space"/>
      <w:lvlText w:val="第%1章"/>
      <w:lvlJc w:val="left"/>
      <w:rPr>
        <w:rFonts w:hint="eastAsia"/>
      </w:rPr>
    </w:lvl>
  </w:abstractNum>
  <w:abstractNum w:abstractNumId="9">
    <w:nsid w:val="00000014"/>
    <w:multiLevelType w:val="multilevel"/>
    <w:tmpl w:val="00000014"/>
    <w:lvl w:ilvl="0" w:tentative="0">
      <w:start w:val="1"/>
      <w:numFmt w:val="decimal"/>
      <w:pStyle w:val="28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15"/>
    <w:multiLevelType w:val="multilevel"/>
    <w:tmpl w:val="00000015"/>
    <w:lvl w:ilvl="0" w:tentative="0">
      <w:start w:val="1"/>
      <w:numFmt w:val="decimal"/>
      <w:pStyle w:val="105"/>
      <w:lvlText w:val="%1."/>
      <w:lvlJc w:val="left"/>
      <w:rPr>
        <w:rFonts w:hint="default" w:cs="Times New Roman"/>
      </w:rPr>
    </w:lvl>
    <w:lvl w:ilvl="1" w:tentative="0">
      <w:start w:val="1"/>
      <w:numFmt w:val="decimal"/>
      <w:pStyle w:val="129"/>
      <w:isLgl/>
      <w:lvlText w:val="%1.%2"/>
      <w:lvlJc w:val="left"/>
      <w:rPr>
        <w:rFonts w:hint="default" w:cs="Times New Roman"/>
        <w:b/>
        <w:sz w:val="32"/>
        <w:szCs w:val="32"/>
      </w:rPr>
    </w:lvl>
    <w:lvl w:ilvl="2" w:tentative="0">
      <w:start w:val="1"/>
      <w:numFmt w:val="decimal"/>
      <w:pStyle w:val="108"/>
      <w:isLgl/>
      <w:lvlText w:val="%1.%2.%3"/>
      <w:lvlJc w:val="left"/>
      <w:rPr>
        <w:rFonts w:hint="default" w:cs="Times New Roman"/>
      </w:rPr>
    </w:lvl>
    <w:lvl w:ilvl="3" w:tentative="0">
      <w:start w:val="1"/>
      <w:numFmt w:val="decimal"/>
      <w:isLgl/>
      <w:lvlText w:val="%1.%2.%3.%4"/>
      <w:lvlJc w:val="left"/>
      <w:rPr>
        <w:rFonts w:hint="eastAsia" w:cs="Times New Roman"/>
        <w:b w:val="0"/>
        <w:bCs w:val="0"/>
        <w:i w:val="0"/>
        <w:iCs w:val="0"/>
        <w:caps w:val="0"/>
        <w:smallCaps w:val="0"/>
        <w:strike w:val="0"/>
        <w:dstrike w:val="0"/>
        <w:color w:val="000000"/>
        <w:spacing w:val="0"/>
        <w:position w:val="0"/>
        <w:u w:val="no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1">
    <w:nsid w:val="00000016"/>
    <w:multiLevelType w:val="multilevel"/>
    <w:tmpl w:val="00000016"/>
    <w:lvl w:ilvl="0" w:tentative="0">
      <w:start w:val="1"/>
      <w:numFmt w:val="decimal"/>
      <w:pStyle w:val="372"/>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2">
    <w:nsid w:val="00000017"/>
    <w:multiLevelType w:val="multilevel"/>
    <w:tmpl w:val="00000017"/>
    <w:lvl w:ilvl="0" w:tentative="0">
      <w:start w:val="1"/>
      <w:numFmt w:val="bullet"/>
      <w:pStyle w:val="299"/>
      <w:lvlText w:val=""/>
      <w:lvlJc w:val="left"/>
      <w:pPr>
        <w:ind w:left="820" w:hanging="420"/>
      </w:pPr>
      <w:rPr>
        <w:b w:val="0"/>
        <w:i w:val="0"/>
        <w:caps w:val="0"/>
        <w:smallCaps w:val="0"/>
        <w:strike w:val="0"/>
        <w:dstrike w:val="0"/>
        <w:outline w:val="0"/>
        <w:shadow w:val="0"/>
        <w:spacing w:val="0"/>
        <w:position w:val="0"/>
        <w:u w:val="no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3">
    <w:nsid w:val="00000018"/>
    <w:multiLevelType w:val="multilevel"/>
    <w:tmpl w:val="00000018"/>
    <w:lvl w:ilvl="0" w:tentative="0">
      <w:start w:val="1"/>
      <w:numFmt w:val="bullet"/>
      <w:pStyle w:val="164"/>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00000019"/>
    <w:multiLevelType w:val="multilevel"/>
    <w:tmpl w:val="00000019"/>
    <w:lvl w:ilvl="0" w:tentative="0">
      <w:start w:val="1"/>
      <w:numFmt w:val="decimal"/>
      <w:suff w:val="space"/>
      <w:lvlText w:val="第 %1 章"/>
      <w:lvlJc w:val="center"/>
      <w:pPr>
        <w:ind w:firstLine="288"/>
      </w:pPr>
      <w:rPr>
        <w:rFonts w:hint="eastAsia" w:cs="Times New Roman"/>
        <w:b w:val="0"/>
        <w:i w:val="0"/>
        <w:iCs w:val="0"/>
        <w:caps w:val="0"/>
        <w:smallCaps w:val="0"/>
        <w:strike w:val="0"/>
        <w:dstrike w:val="0"/>
        <w:color w:val="000000"/>
        <w:spacing w:val="0"/>
        <w:kern w:val="0"/>
        <w:position w:val="0"/>
        <w:u w:val="no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color w:val="auto"/>
        <w:spacing w:val="0"/>
        <w:w w:val="100"/>
        <w:kern w:val="2"/>
        <w:position w:val="0"/>
        <w:sz w:val="36"/>
        <w:u w:val="no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color w:val="000000"/>
        <w:spacing w:val="0"/>
        <w:kern w:val="0"/>
        <w:position w:val="0"/>
        <w:u w:val="no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333"/>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5">
    <w:nsid w:val="0000001A"/>
    <w:multiLevelType w:val="multilevel"/>
    <w:tmpl w:val="0000001A"/>
    <w:lvl w:ilvl="0" w:tentative="0">
      <w:start w:val="1"/>
      <w:numFmt w:val="decimal"/>
      <w:pStyle w:val="112"/>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16">
    <w:nsid w:val="0000001B"/>
    <w:multiLevelType w:val="multilevel"/>
    <w:tmpl w:val="0000001B"/>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color w:val="auto"/>
        <w:spacing w:val="0"/>
        <w:w w:val="100"/>
        <w:kern w:val="2"/>
        <w:position w:val="0"/>
        <w:sz w:val="36"/>
        <w:u w:val="no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color w:val="000000"/>
        <w:spacing w:val="0"/>
        <w:kern w:val="0"/>
        <w:position w:val="0"/>
        <w:u w:val="no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275"/>
      <w:suff w:val="space"/>
      <w:lvlText w:val="%1.%2.%3.%4.%5.%6.%7"/>
      <w:lvlJc w:val="left"/>
      <w:pPr>
        <w:ind w:left="2268" w:hanging="2268"/>
      </w:pPr>
      <w:rPr>
        <w:rFonts w:cs="Times New Roman"/>
        <w:b w:val="0"/>
        <w:bCs w:val="0"/>
        <w:i w:val="0"/>
        <w:iCs w:val="0"/>
        <w:caps w:val="0"/>
        <w:smallCaps w:val="0"/>
        <w:strike w:val="0"/>
        <w:dstrike w:val="0"/>
        <w:outline w:val="0"/>
        <w:shadow w:val="0"/>
        <w:spacing w:val="0"/>
        <w:position w:val="0"/>
        <w:u w:val="no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7">
    <w:nsid w:val="0000001C"/>
    <w:multiLevelType w:val="singleLevel"/>
    <w:tmpl w:val="0000001C"/>
    <w:lvl w:ilvl="0" w:tentative="0">
      <w:start w:val="8"/>
      <w:numFmt w:val="chineseCounting"/>
      <w:suff w:val="nothing"/>
      <w:lvlText w:val="%1．"/>
      <w:lvlJc w:val="left"/>
      <w:rPr>
        <w:rFonts w:hint="eastAsia"/>
      </w:rPr>
    </w:lvl>
  </w:abstractNum>
  <w:abstractNum w:abstractNumId="18">
    <w:nsid w:val="0000001D"/>
    <w:multiLevelType w:val="singleLevel"/>
    <w:tmpl w:val="0000001D"/>
    <w:lvl w:ilvl="0" w:tentative="0">
      <w:start w:val="2"/>
      <w:numFmt w:val="chineseCounting"/>
      <w:suff w:val="nothing"/>
      <w:lvlText w:val="%1、"/>
      <w:lvlJc w:val="left"/>
      <w:rPr>
        <w:rFonts w:hint="eastAsia"/>
      </w:rPr>
    </w:lvl>
  </w:abstractNum>
  <w:abstractNum w:abstractNumId="19">
    <w:nsid w:val="0000001E"/>
    <w:multiLevelType w:val="singleLevel"/>
    <w:tmpl w:val="0000001E"/>
    <w:lvl w:ilvl="0" w:tentative="0">
      <w:start w:val="1"/>
      <w:numFmt w:val="bullet"/>
      <w:pStyle w:val="21"/>
      <w:lvlText w:val=""/>
      <w:lvlJc w:val="left"/>
      <w:pPr>
        <w:tabs>
          <w:tab w:val="left" w:pos="780"/>
        </w:tabs>
        <w:ind w:left="780" w:hanging="360"/>
      </w:pPr>
      <w:rPr>
        <w:rFonts w:hint="default" w:ascii="Wingdings" w:hAnsi="Wingdings"/>
      </w:rPr>
    </w:lvl>
  </w:abstractNum>
  <w:abstractNum w:abstractNumId="20">
    <w:nsid w:val="0000001F"/>
    <w:multiLevelType w:val="singleLevel"/>
    <w:tmpl w:val="0000001F"/>
    <w:lvl w:ilvl="0" w:tentative="0">
      <w:start w:val="1"/>
      <w:numFmt w:val="bullet"/>
      <w:pStyle w:val="15"/>
      <w:lvlText w:val=""/>
      <w:lvlJc w:val="left"/>
      <w:pPr>
        <w:tabs>
          <w:tab w:val="left" w:pos="360"/>
        </w:tabs>
        <w:ind w:left="360" w:hanging="360"/>
      </w:pPr>
      <w:rPr>
        <w:rFonts w:hint="default" w:ascii="Wingdings" w:hAnsi="Wingdings"/>
      </w:rPr>
    </w:lvl>
  </w:abstractNum>
  <w:abstractNum w:abstractNumId="21">
    <w:nsid w:val="00000020"/>
    <w:multiLevelType w:val="singleLevel"/>
    <w:tmpl w:val="00000020"/>
    <w:lvl w:ilvl="0" w:tentative="0">
      <w:start w:val="1"/>
      <w:numFmt w:val="bullet"/>
      <w:pStyle w:val="17"/>
      <w:lvlText w:val=""/>
      <w:lvlJc w:val="left"/>
      <w:pPr>
        <w:tabs>
          <w:tab w:val="left" w:pos="1200"/>
        </w:tabs>
        <w:ind w:left="1200" w:hanging="360"/>
      </w:pPr>
      <w:rPr>
        <w:rFonts w:hint="default" w:ascii="Wingdings" w:hAnsi="Wingdings"/>
      </w:rPr>
    </w:lvl>
  </w:abstractNum>
  <w:abstractNum w:abstractNumId="22">
    <w:nsid w:val="1F5DCD19"/>
    <w:multiLevelType w:val="singleLevel"/>
    <w:tmpl w:val="1F5DCD19"/>
    <w:lvl w:ilvl="0" w:tentative="0">
      <w:start w:val="1"/>
      <w:numFmt w:val="decimal"/>
      <w:suff w:val="nothing"/>
      <w:lvlText w:val="（%1）"/>
      <w:lvlJc w:val="left"/>
    </w:lvl>
  </w:abstractNum>
  <w:num w:numId="1">
    <w:abstractNumId w:val="20"/>
  </w:num>
  <w:num w:numId="2">
    <w:abstractNumId w:val="21"/>
  </w:num>
  <w:num w:numId="3">
    <w:abstractNumId w:val="19"/>
  </w:num>
  <w:num w:numId="4">
    <w:abstractNumId w:val="10"/>
  </w:num>
  <w:num w:numId="5">
    <w:abstractNumId w:val="15"/>
  </w:num>
  <w:num w:numId="6">
    <w:abstractNumId w:val="4"/>
  </w:num>
  <w:num w:numId="7">
    <w:abstractNumId w:val="2"/>
  </w:num>
  <w:num w:numId="8">
    <w:abstractNumId w:val="13"/>
  </w:num>
  <w:num w:numId="9">
    <w:abstractNumId w:val="6"/>
  </w:num>
  <w:num w:numId="10">
    <w:abstractNumId w:val="7"/>
  </w:num>
  <w:num w:numId="11">
    <w:abstractNumId w:val="16"/>
  </w:num>
  <w:num w:numId="12">
    <w:abstractNumId w:val="9"/>
  </w:num>
  <w:num w:numId="13">
    <w:abstractNumId w:val="1"/>
  </w:num>
  <w:num w:numId="14">
    <w:abstractNumId w:val="12"/>
  </w:num>
  <w:num w:numId="15">
    <w:abstractNumId w:val="14"/>
  </w:num>
  <w:num w:numId="16">
    <w:abstractNumId w:val="3"/>
  </w:num>
  <w:num w:numId="17">
    <w:abstractNumId w:val="11"/>
  </w:num>
  <w:num w:numId="18">
    <w:abstractNumId w:val="5"/>
  </w:num>
  <w:num w:numId="19">
    <w:abstractNumId w:val="8"/>
  </w:num>
  <w:num w:numId="20">
    <w:abstractNumId w:val="0"/>
  </w:num>
  <w:num w:numId="21">
    <w:abstractNumId w:val="18"/>
  </w:num>
  <w:num w:numId="22">
    <w:abstractNumId w:val="2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32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66"/>
    <w:rsid w:val="00033C5B"/>
    <w:rsid w:val="000D694A"/>
    <w:rsid w:val="000E6970"/>
    <w:rsid w:val="002A4CD7"/>
    <w:rsid w:val="002B7A07"/>
    <w:rsid w:val="00337DB2"/>
    <w:rsid w:val="0037510B"/>
    <w:rsid w:val="00415D66"/>
    <w:rsid w:val="004D2A52"/>
    <w:rsid w:val="005149B5"/>
    <w:rsid w:val="00522CE2"/>
    <w:rsid w:val="005342DA"/>
    <w:rsid w:val="005647C5"/>
    <w:rsid w:val="00595E9A"/>
    <w:rsid w:val="005A35FC"/>
    <w:rsid w:val="00642257"/>
    <w:rsid w:val="00652861"/>
    <w:rsid w:val="00665535"/>
    <w:rsid w:val="00694133"/>
    <w:rsid w:val="006D061D"/>
    <w:rsid w:val="00742CE8"/>
    <w:rsid w:val="00791228"/>
    <w:rsid w:val="007F7E00"/>
    <w:rsid w:val="008256C5"/>
    <w:rsid w:val="00836404"/>
    <w:rsid w:val="00971BA5"/>
    <w:rsid w:val="009C1EE6"/>
    <w:rsid w:val="009E7D06"/>
    <w:rsid w:val="00A20D98"/>
    <w:rsid w:val="00A97034"/>
    <w:rsid w:val="00AE3B0A"/>
    <w:rsid w:val="00B031C0"/>
    <w:rsid w:val="00BA793A"/>
    <w:rsid w:val="00BE49D8"/>
    <w:rsid w:val="00BF2B3C"/>
    <w:rsid w:val="00D03221"/>
    <w:rsid w:val="00D21DE9"/>
    <w:rsid w:val="00D44ACE"/>
    <w:rsid w:val="00D8284B"/>
    <w:rsid w:val="00DB4EA6"/>
    <w:rsid w:val="00E05F4D"/>
    <w:rsid w:val="00E20911"/>
    <w:rsid w:val="00E36199"/>
    <w:rsid w:val="00F00DE2"/>
    <w:rsid w:val="00F76805"/>
    <w:rsid w:val="00F93D23"/>
    <w:rsid w:val="00FF5EDA"/>
    <w:rsid w:val="01062EEC"/>
    <w:rsid w:val="01610203"/>
    <w:rsid w:val="01AF70E0"/>
    <w:rsid w:val="01B14C06"/>
    <w:rsid w:val="01F33470"/>
    <w:rsid w:val="023575E5"/>
    <w:rsid w:val="02704AC1"/>
    <w:rsid w:val="027F2F56"/>
    <w:rsid w:val="02881A3C"/>
    <w:rsid w:val="02957ACD"/>
    <w:rsid w:val="02D23086"/>
    <w:rsid w:val="03261624"/>
    <w:rsid w:val="032A2EC2"/>
    <w:rsid w:val="03321D76"/>
    <w:rsid w:val="03675EC4"/>
    <w:rsid w:val="03A72764"/>
    <w:rsid w:val="04B6087A"/>
    <w:rsid w:val="04D01847"/>
    <w:rsid w:val="04D06D2A"/>
    <w:rsid w:val="053973EC"/>
    <w:rsid w:val="054F6C10"/>
    <w:rsid w:val="05551D4C"/>
    <w:rsid w:val="05C877BA"/>
    <w:rsid w:val="06B01930"/>
    <w:rsid w:val="06DB44D3"/>
    <w:rsid w:val="08202AE5"/>
    <w:rsid w:val="0865674A"/>
    <w:rsid w:val="088210AA"/>
    <w:rsid w:val="08922AA8"/>
    <w:rsid w:val="08D613F6"/>
    <w:rsid w:val="091343F8"/>
    <w:rsid w:val="091572FB"/>
    <w:rsid w:val="09376339"/>
    <w:rsid w:val="096D1D5A"/>
    <w:rsid w:val="098D5F59"/>
    <w:rsid w:val="09D771D4"/>
    <w:rsid w:val="09DC2A3C"/>
    <w:rsid w:val="09EF44EC"/>
    <w:rsid w:val="0A3B59B5"/>
    <w:rsid w:val="0B261C02"/>
    <w:rsid w:val="0B271D26"/>
    <w:rsid w:val="0B293A5F"/>
    <w:rsid w:val="0B8E478B"/>
    <w:rsid w:val="0B9A2BAF"/>
    <w:rsid w:val="0BA63302"/>
    <w:rsid w:val="0BFA1966"/>
    <w:rsid w:val="0C917B0E"/>
    <w:rsid w:val="0CA912FB"/>
    <w:rsid w:val="0CC51EAD"/>
    <w:rsid w:val="0CD21ED4"/>
    <w:rsid w:val="0CEA10BB"/>
    <w:rsid w:val="0D742674"/>
    <w:rsid w:val="0DB066B9"/>
    <w:rsid w:val="0DF2282E"/>
    <w:rsid w:val="0E72571D"/>
    <w:rsid w:val="0F64150A"/>
    <w:rsid w:val="103510F8"/>
    <w:rsid w:val="10390BE8"/>
    <w:rsid w:val="10802373"/>
    <w:rsid w:val="11B36778"/>
    <w:rsid w:val="11EB5F12"/>
    <w:rsid w:val="120D40DA"/>
    <w:rsid w:val="123E24E6"/>
    <w:rsid w:val="12655526"/>
    <w:rsid w:val="12663096"/>
    <w:rsid w:val="128A7BF7"/>
    <w:rsid w:val="130A77E8"/>
    <w:rsid w:val="13623FB2"/>
    <w:rsid w:val="13BA2040"/>
    <w:rsid w:val="14175320"/>
    <w:rsid w:val="143D057B"/>
    <w:rsid w:val="14593607"/>
    <w:rsid w:val="145A2EDB"/>
    <w:rsid w:val="150B2427"/>
    <w:rsid w:val="152D239E"/>
    <w:rsid w:val="15966195"/>
    <w:rsid w:val="15AF27A6"/>
    <w:rsid w:val="15F5110D"/>
    <w:rsid w:val="16201F02"/>
    <w:rsid w:val="16D231FD"/>
    <w:rsid w:val="16DF591A"/>
    <w:rsid w:val="18001FEB"/>
    <w:rsid w:val="18167A61"/>
    <w:rsid w:val="186916CE"/>
    <w:rsid w:val="18A706B9"/>
    <w:rsid w:val="18BF1EA7"/>
    <w:rsid w:val="18E436BB"/>
    <w:rsid w:val="18E502A5"/>
    <w:rsid w:val="190A3122"/>
    <w:rsid w:val="19111D36"/>
    <w:rsid w:val="195645B9"/>
    <w:rsid w:val="19EC6CCB"/>
    <w:rsid w:val="1A121E0E"/>
    <w:rsid w:val="1A2E4BEE"/>
    <w:rsid w:val="1A7F18ED"/>
    <w:rsid w:val="1A873BDB"/>
    <w:rsid w:val="1AA53852"/>
    <w:rsid w:val="1ACE017F"/>
    <w:rsid w:val="1B5508A0"/>
    <w:rsid w:val="1B5543FC"/>
    <w:rsid w:val="1BEA2D97"/>
    <w:rsid w:val="1BED2887"/>
    <w:rsid w:val="1C1B73F4"/>
    <w:rsid w:val="1C520554"/>
    <w:rsid w:val="1CA31B57"/>
    <w:rsid w:val="1CA4420E"/>
    <w:rsid w:val="1CBA6C0D"/>
    <w:rsid w:val="1CF0262F"/>
    <w:rsid w:val="1D7E7C3A"/>
    <w:rsid w:val="1DB423EF"/>
    <w:rsid w:val="1DEF6D8A"/>
    <w:rsid w:val="1E165853"/>
    <w:rsid w:val="1E4C5F8A"/>
    <w:rsid w:val="1E960A44"/>
    <w:rsid w:val="1EFC175F"/>
    <w:rsid w:val="1F5A1DEF"/>
    <w:rsid w:val="204A474C"/>
    <w:rsid w:val="205904EB"/>
    <w:rsid w:val="206375BB"/>
    <w:rsid w:val="20686980"/>
    <w:rsid w:val="20D52267"/>
    <w:rsid w:val="20D65FDF"/>
    <w:rsid w:val="21052421"/>
    <w:rsid w:val="21A32365"/>
    <w:rsid w:val="21A82892"/>
    <w:rsid w:val="22124FE4"/>
    <w:rsid w:val="223E48BC"/>
    <w:rsid w:val="22656351"/>
    <w:rsid w:val="22E5335B"/>
    <w:rsid w:val="22EE13BE"/>
    <w:rsid w:val="232F19D7"/>
    <w:rsid w:val="2369313B"/>
    <w:rsid w:val="23B56380"/>
    <w:rsid w:val="244119C2"/>
    <w:rsid w:val="24684E6B"/>
    <w:rsid w:val="24C525F3"/>
    <w:rsid w:val="24F801FE"/>
    <w:rsid w:val="25061AD6"/>
    <w:rsid w:val="250D2C18"/>
    <w:rsid w:val="254554E2"/>
    <w:rsid w:val="268F4C66"/>
    <w:rsid w:val="26B446CD"/>
    <w:rsid w:val="27764078"/>
    <w:rsid w:val="28425D08"/>
    <w:rsid w:val="289742A6"/>
    <w:rsid w:val="28B60BD0"/>
    <w:rsid w:val="29A0362E"/>
    <w:rsid w:val="2A043BBD"/>
    <w:rsid w:val="2A2F31FB"/>
    <w:rsid w:val="2A3C3357"/>
    <w:rsid w:val="2A4B359A"/>
    <w:rsid w:val="2A583FB2"/>
    <w:rsid w:val="2A7C3754"/>
    <w:rsid w:val="2A8B1BE9"/>
    <w:rsid w:val="2AAD6003"/>
    <w:rsid w:val="2ABC7FF4"/>
    <w:rsid w:val="2B396F3C"/>
    <w:rsid w:val="2B4029D3"/>
    <w:rsid w:val="2B4917E2"/>
    <w:rsid w:val="2B7B7EAF"/>
    <w:rsid w:val="2B8A1EA0"/>
    <w:rsid w:val="2BC84740"/>
    <w:rsid w:val="2C414C55"/>
    <w:rsid w:val="2C46226B"/>
    <w:rsid w:val="2C7203A5"/>
    <w:rsid w:val="2C9C4479"/>
    <w:rsid w:val="2CFF066C"/>
    <w:rsid w:val="2D546C0A"/>
    <w:rsid w:val="2D60110A"/>
    <w:rsid w:val="2DB476A8"/>
    <w:rsid w:val="2DD815E9"/>
    <w:rsid w:val="2DF637EF"/>
    <w:rsid w:val="2E3F51C4"/>
    <w:rsid w:val="2ED022C0"/>
    <w:rsid w:val="2F081615"/>
    <w:rsid w:val="2F414F6C"/>
    <w:rsid w:val="2FA71273"/>
    <w:rsid w:val="2FB43990"/>
    <w:rsid w:val="2FFB15BE"/>
    <w:rsid w:val="2FFF10AF"/>
    <w:rsid w:val="30550CCF"/>
    <w:rsid w:val="30F0503B"/>
    <w:rsid w:val="30F304E8"/>
    <w:rsid w:val="31184A48"/>
    <w:rsid w:val="313034EA"/>
    <w:rsid w:val="31346AB6"/>
    <w:rsid w:val="31603DCF"/>
    <w:rsid w:val="31C205E6"/>
    <w:rsid w:val="31EC5663"/>
    <w:rsid w:val="32452FC5"/>
    <w:rsid w:val="328F750E"/>
    <w:rsid w:val="32EC2057"/>
    <w:rsid w:val="33460DA3"/>
    <w:rsid w:val="336456CD"/>
    <w:rsid w:val="337E053C"/>
    <w:rsid w:val="33B201E6"/>
    <w:rsid w:val="33D801B1"/>
    <w:rsid w:val="34A75871"/>
    <w:rsid w:val="34FB7D24"/>
    <w:rsid w:val="3518676F"/>
    <w:rsid w:val="35BD5D8E"/>
    <w:rsid w:val="35C07A3B"/>
    <w:rsid w:val="36174C78"/>
    <w:rsid w:val="36301896"/>
    <w:rsid w:val="36EA5EE9"/>
    <w:rsid w:val="37D60B1B"/>
    <w:rsid w:val="38135BC4"/>
    <w:rsid w:val="383C2D6D"/>
    <w:rsid w:val="3851621F"/>
    <w:rsid w:val="388C7258"/>
    <w:rsid w:val="389D5D1B"/>
    <w:rsid w:val="38A10829"/>
    <w:rsid w:val="38D46E50"/>
    <w:rsid w:val="39391E2B"/>
    <w:rsid w:val="399F120C"/>
    <w:rsid w:val="39B8407C"/>
    <w:rsid w:val="39D72754"/>
    <w:rsid w:val="3AEF7F72"/>
    <w:rsid w:val="3B6B1A33"/>
    <w:rsid w:val="3BA62369"/>
    <w:rsid w:val="3BDC6748"/>
    <w:rsid w:val="3BF33A92"/>
    <w:rsid w:val="3BF721F8"/>
    <w:rsid w:val="3C2459F9"/>
    <w:rsid w:val="3C261771"/>
    <w:rsid w:val="3C44609B"/>
    <w:rsid w:val="3C581EA0"/>
    <w:rsid w:val="3C9C7C85"/>
    <w:rsid w:val="3CC80A7A"/>
    <w:rsid w:val="3D583BAC"/>
    <w:rsid w:val="3D9646D4"/>
    <w:rsid w:val="3D9F7FB2"/>
    <w:rsid w:val="3DD516A1"/>
    <w:rsid w:val="3E014244"/>
    <w:rsid w:val="3E313ACD"/>
    <w:rsid w:val="3E4668D1"/>
    <w:rsid w:val="3E6732B6"/>
    <w:rsid w:val="3E7E3AE6"/>
    <w:rsid w:val="3E9055C8"/>
    <w:rsid w:val="3E9C3F6D"/>
    <w:rsid w:val="3F093818"/>
    <w:rsid w:val="3F1B30E3"/>
    <w:rsid w:val="3FD31C10"/>
    <w:rsid w:val="407A208B"/>
    <w:rsid w:val="409969B6"/>
    <w:rsid w:val="40A86BF9"/>
    <w:rsid w:val="40D0614F"/>
    <w:rsid w:val="41120516"/>
    <w:rsid w:val="41214BFD"/>
    <w:rsid w:val="417858C8"/>
    <w:rsid w:val="41E53E7C"/>
    <w:rsid w:val="42265811"/>
    <w:rsid w:val="42300911"/>
    <w:rsid w:val="42642FF3"/>
    <w:rsid w:val="435555FF"/>
    <w:rsid w:val="43601A0D"/>
    <w:rsid w:val="43727992"/>
    <w:rsid w:val="437454B8"/>
    <w:rsid w:val="43963680"/>
    <w:rsid w:val="43AE750B"/>
    <w:rsid w:val="446358E0"/>
    <w:rsid w:val="44E26451"/>
    <w:rsid w:val="45462E84"/>
    <w:rsid w:val="458A4B1F"/>
    <w:rsid w:val="45AE2F45"/>
    <w:rsid w:val="45F10A32"/>
    <w:rsid w:val="45FA2122"/>
    <w:rsid w:val="46503FBA"/>
    <w:rsid w:val="465F7100"/>
    <w:rsid w:val="469F0A9E"/>
    <w:rsid w:val="471D34DB"/>
    <w:rsid w:val="478A52AA"/>
    <w:rsid w:val="48A57EC2"/>
    <w:rsid w:val="49A75C13"/>
    <w:rsid w:val="49DC5B65"/>
    <w:rsid w:val="4A033E18"/>
    <w:rsid w:val="4B8D7117"/>
    <w:rsid w:val="4BFE0015"/>
    <w:rsid w:val="4C0D64AA"/>
    <w:rsid w:val="4C4A325A"/>
    <w:rsid w:val="4CE76CFB"/>
    <w:rsid w:val="4D47635B"/>
    <w:rsid w:val="4D897DB2"/>
    <w:rsid w:val="4DA44BEC"/>
    <w:rsid w:val="4E032A66"/>
    <w:rsid w:val="4E3C4E24"/>
    <w:rsid w:val="4E74636C"/>
    <w:rsid w:val="4E7919E9"/>
    <w:rsid w:val="4EA529C9"/>
    <w:rsid w:val="4F2E08E0"/>
    <w:rsid w:val="4F3855EC"/>
    <w:rsid w:val="4F5B577E"/>
    <w:rsid w:val="4FAE3B00"/>
    <w:rsid w:val="4FB8497E"/>
    <w:rsid w:val="501F67AB"/>
    <w:rsid w:val="5043693E"/>
    <w:rsid w:val="50D94BAC"/>
    <w:rsid w:val="51312C3A"/>
    <w:rsid w:val="51826FF2"/>
    <w:rsid w:val="51FF0643"/>
    <w:rsid w:val="52C8137C"/>
    <w:rsid w:val="52C87C19"/>
    <w:rsid w:val="52F201A7"/>
    <w:rsid w:val="532145E9"/>
    <w:rsid w:val="53890B0C"/>
    <w:rsid w:val="53A96AB8"/>
    <w:rsid w:val="53AB6CD4"/>
    <w:rsid w:val="53FE0ED6"/>
    <w:rsid w:val="5422686A"/>
    <w:rsid w:val="5455735C"/>
    <w:rsid w:val="547C0F1A"/>
    <w:rsid w:val="549169D5"/>
    <w:rsid w:val="54E05617"/>
    <w:rsid w:val="552F123F"/>
    <w:rsid w:val="55646FF0"/>
    <w:rsid w:val="56233746"/>
    <w:rsid w:val="56301CC3"/>
    <w:rsid w:val="566E71F6"/>
    <w:rsid w:val="570A1F63"/>
    <w:rsid w:val="572B3C88"/>
    <w:rsid w:val="57AC301B"/>
    <w:rsid w:val="57DC1775"/>
    <w:rsid w:val="58256929"/>
    <w:rsid w:val="58C12AF6"/>
    <w:rsid w:val="590B1FC3"/>
    <w:rsid w:val="59125299"/>
    <w:rsid w:val="5960230F"/>
    <w:rsid w:val="59D800F7"/>
    <w:rsid w:val="59E215D6"/>
    <w:rsid w:val="5A3B0686"/>
    <w:rsid w:val="5A541C16"/>
    <w:rsid w:val="5ACC30A7"/>
    <w:rsid w:val="5B307109"/>
    <w:rsid w:val="5B7665A4"/>
    <w:rsid w:val="5B7C58B9"/>
    <w:rsid w:val="5BFE196B"/>
    <w:rsid w:val="5C473312"/>
    <w:rsid w:val="5CD31049"/>
    <w:rsid w:val="5D5E4DB7"/>
    <w:rsid w:val="5D5F61A3"/>
    <w:rsid w:val="5DBA1EE1"/>
    <w:rsid w:val="5EBB7FE7"/>
    <w:rsid w:val="5ED6097D"/>
    <w:rsid w:val="5F0140EF"/>
    <w:rsid w:val="5F555D46"/>
    <w:rsid w:val="5F767861"/>
    <w:rsid w:val="5FB07420"/>
    <w:rsid w:val="611B6B1B"/>
    <w:rsid w:val="61204131"/>
    <w:rsid w:val="612E162C"/>
    <w:rsid w:val="61B52ACC"/>
    <w:rsid w:val="61EA4E6B"/>
    <w:rsid w:val="6220263B"/>
    <w:rsid w:val="622C5484"/>
    <w:rsid w:val="627C183B"/>
    <w:rsid w:val="62D17DD9"/>
    <w:rsid w:val="63A23524"/>
    <w:rsid w:val="64DD2A65"/>
    <w:rsid w:val="65384140"/>
    <w:rsid w:val="654B4F4E"/>
    <w:rsid w:val="65E63B9C"/>
    <w:rsid w:val="65EE7221"/>
    <w:rsid w:val="66344907"/>
    <w:rsid w:val="663C1A0D"/>
    <w:rsid w:val="664E34EF"/>
    <w:rsid w:val="66A3383B"/>
    <w:rsid w:val="6707201B"/>
    <w:rsid w:val="672901E4"/>
    <w:rsid w:val="67784CC7"/>
    <w:rsid w:val="67FD51CC"/>
    <w:rsid w:val="68120C78"/>
    <w:rsid w:val="68190258"/>
    <w:rsid w:val="683E7CBF"/>
    <w:rsid w:val="68A51AEC"/>
    <w:rsid w:val="68CD4B9F"/>
    <w:rsid w:val="68D253D0"/>
    <w:rsid w:val="690D143F"/>
    <w:rsid w:val="6942733B"/>
    <w:rsid w:val="694B0821"/>
    <w:rsid w:val="695D4175"/>
    <w:rsid w:val="696E6382"/>
    <w:rsid w:val="69BA3375"/>
    <w:rsid w:val="6A1F15CA"/>
    <w:rsid w:val="6B19231D"/>
    <w:rsid w:val="6B4D325B"/>
    <w:rsid w:val="6B834293"/>
    <w:rsid w:val="6BF84629"/>
    <w:rsid w:val="6C7812C6"/>
    <w:rsid w:val="6C861C34"/>
    <w:rsid w:val="6C8C46F2"/>
    <w:rsid w:val="6CC16FAD"/>
    <w:rsid w:val="6CF52916"/>
    <w:rsid w:val="6CF92406"/>
    <w:rsid w:val="6D395F98"/>
    <w:rsid w:val="6D3B2A1F"/>
    <w:rsid w:val="6DE84401"/>
    <w:rsid w:val="6DEA4515"/>
    <w:rsid w:val="6E647D53"/>
    <w:rsid w:val="6E873A42"/>
    <w:rsid w:val="6EB1286D"/>
    <w:rsid w:val="6F433E0D"/>
    <w:rsid w:val="6F83245B"/>
    <w:rsid w:val="6FB16FC8"/>
    <w:rsid w:val="704D495A"/>
    <w:rsid w:val="70875F7B"/>
    <w:rsid w:val="70AB7EBB"/>
    <w:rsid w:val="70CE5958"/>
    <w:rsid w:val="70D32EFD"/>
    <w:rsid w:val="71397275"/>
    <w:rsid w:val="715C11B6"/>
    <w:rsid w:val="725650A8"/>
    <w:rsid w:val="726E11A1"/>
    <w:rsid w:val="733338E5"/>
    <w:rsid w:val="741E2752"/>
    <w:rsid w:val="744F5002"/>
    <w:rsid w:val="74A7099A"/>
    <w:rsid w:val="76246960"/>
    <w:rsid w:val="762D1373"/>
    <w:rsid w:val="7647083A"/>
    <w:rsid w:val="76486014"/>
    <w:rsid w:val="764C2334"/>
    <w:rsid w:val="769907B6"/>
    <w:rsid w:val="76A01B45"/>
    <w:rsid w:val="777A05E8"/>
    <w:rsid w:val="78880AE2"/>
    <w:rsid w:val="78AE679B"/>
    <w:rsid w:val="78D43D28"/>
    <w:rsid w:val="79627585"/>
    <w:rsid w:val="79894B12"/>
    <w:rsid w:val="79955265"/>
    <w:rsid w:val="79BD2A0E"/>
    <w:rsid w:val="7A1F2F7E"/>
    <w:rsid w:val="7AF67F85"/>
    <w:rsid w:val="7B113011"/>
    <w:rsid w:val="7B242D44"/>
    <w:rsid w:val="7B564EC8"/>
    <w:rsid w:val="7C013085"/>
    <w:rsid w:val="7C4D52A7"/>
    <w:rsid w:val="7D013397"/>
    <w:rsid w:val="7D2F4AEC"/>
    <w:rsid w:val="7D44147C"/>
    <w:rsid w:val="7D5507E5"/>
    <w:rsid w:val="7D7004C3"/>
    <w:rsid w:val="7DDB5327"/>
    <w:rsid w:val="7DDD290B"/>
    <w:rsid w:val="7DED1B13"/>
    <w:rsid w:val="7E0429B9"/>
    <w:rsid w:val="7E4B683A"/>
    <w:rsid w:val="7E9A6542"/>
    <w:rsid w:val="7ECB1729"/>
    <w:rsid w:val="7EFC5D86"/>
    <w:rsid w:val="7F375261"/>
    <w:rsid w:val="7FA93818"/>
    <w:rsid w:val="7FD32AEA"/>
    <w:rsid w:val="7FED0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黑体"/>
      <w:kern w:val="2"/>
      <w:sz w:val="21"/>
      <w:szCs w:val="24"/>
      <w:lang w:val="en-US" w:eastAsia="zh-CN" w:bidi="ar-SA"/>
    </w:rPr>
  </w:style>
  <w:style w:type="paragraph" w:styleId="4">
    <w:name w:val="heading 1"/>
    <w:basedOn w:val="1"/>
    <w:next w:val="1"/>
    <w:link w:val="426"/>
    <w:qFormat/>
    <w:uiPriority w:val="0"/>
    <w:pPr>
      <w:keepNext/>
      <w:keepLines/>
      <w:spacing w:before="340" w:after="330" w:line="576" w:lineRule="auto"/>
      <w:outlineLvl w:val="0"/>
    </w:pPr>
    <w:rPr>
      <w:b/>
      <w:kern w:val="44"/>
      <w:sz w:val="44"/>
    </w:rPr>
  </w:style>
  <w:style w:type="paragraph" w:styleId="5">
    <w:name w:val="heading 2"/>
    <w:basedOn w:val="1"/>
    <w:next w:val="1"/>
    <w:link w:val="427"/>
    <w:qFormat/>
    <w:uiPriority w:val="0"/>
    <w:pPr>
      <w:keepNext/>
      <w:keepLines/>
      <w:spacing w:before="260" w:after="260" w:line="413" w:lineRule="auto"/>
      <w:outlineLvl w:val="1"/>
    </w:pPr>
    <w:rPr>
      <w:rFonts w:ascii="Arial" w:hAnsi="Arial" w:eastAsia="黑体"/>
      <w:b/>
      <w:sz w:val="32"/>
    </w:rPr>
  </w:style>
  <w:style w:type="paragraph" w:styleId="6">
    <w:name w:val="heading 3"/>
    <w:basedOn w:val="1"/>
    <w:next w:val="1"/>
    <w:link w:val="450"/>
    <w:qFormat/>
    <w:uiPriority w:val="0"/>
    <w:pPr>
      <w:keepNext/>
      <w:keepLines/>
      <w:spacing w:before="260" w:after="260" w:line="413" w:lineRule="auto"/>
      <w:outlineLvl w:val="2"/>
    </w:pPr>
    <w:rPr>
      <w:b/>
      <w:sz w:val="32"/>
    </w:rPr>
  </w:style>
  <w:style w:type="paragraph" w:styleId="7">
    <w:name w:val="heading 4"/>
    <w:basedOn w:val="1"/>
    <w:next w:val="1"/>
    <w:link w:val="428"/>
    <w:qFormat/>
    <w:uiPriority w:val="0"/>
    <w:pPr>
      <w:keepNext/>
      <w:keepLines/>
      <w:spacing w:before="280" w:after="290" w:line="372" w:lineRule="auto"/>
      <w:outlineLvl w:val="3"/>
    </w:pPr>
    <w:rPr>
      <w:rFonts w:ascii="Arial" w:hAnsi="Arial" w:eastAsia="黑体"/>
      <w:b/>
      <w:sz w:val="28"/>
    </w:rPr>
  </w:style>
  <w:style w:type="paragraph" w:styleId="8">
    <w:name w:val="heading 5"/>
    <w:basedOn w:val="1"/>
    <w:next w:val="1"/>
    <w:link w:val="429"/>
    <w:qFormat/>
    <w:uiPriority w:val="0"/>
    <w:pPr>
      <w:keepNext/>
      <w:keepLines/>
      <w:spacing w:before="280" w:after="290" w:line="372" w:lineRule="auto"/>
      <w:outlineLvl w:val="4"/>
    </w:pPr>
    <w:rPr>
      <w:b/>
      <w:sz w:val="28"/>
    </w:rPr>
  </w:style>
  <w:style w:type="paragraph" w:styleId="9">
    <w:name w:val="heading 6"/>
    <w:basedOn w:val="1"/>
    <w:next w:val="1"/>
    <w:link w:val="430"/>
    <w:qFormat/>
    <w:uiPriority w:val="0"/>
    <w:pPr>
      <w:keepNext/>
      <w:keepLines/>
      <w:spacing w:before="240" w:after="64" w:line="317" w:lineRule="auto"/>
      <w:outlineLvl w:val="5"/>
    </w:pPr>
    <w:rPr>
      <w:rFonts w:ascii="Arial" w:hAnsi="Arial" w:eastAsia="黑体"/>
      <w:b/>
      <w:sz w:val="24"/>
    </w:rPr>
  </w:style>
  <w:style w:type="paragraph" w:styleId="10">
    <w:name w:val="heading 7"/>
    <w:basedOn w:val="1"/>
    <w:next w:val="1"/>
    <w:link w:val="431"/>
    <w:qFormat/>
    <w:uiPriority w:val="0"/>
    <w:pPr>
      <w:keepNext/>
      <w:keepLines/>
      <w:spacing w:before="240" w:after="64" w:line="317" w:lineRule="auto"/>
      <w:outlineLvl w:val="6"/>
    </w:pPr>
    <w:rPr>
      <w:b/>
      <w:sz w:val="24"/>
    </w:rPr>
  </w:style>
  <w:style w:type="paragraph" w:styleId="11">
    <w:name w:val="heading 8"/>
    <w:basedOn w:val="1"/>
    <w:next w:val="1"/>
    <w:link w:val="432"/>
    <w:qFormat/>
    <w:uiPriority w:val="0"/>
    <w:pPr>
      <w:keepNext/>
      <w:keepLines/>
      <w:spacing w:before="240" w:after="64" w:line="317" w:lineRule="auto"/>
      <w:outlineLvl w:val="7"/>
    </w:pPr>
    <w:rPr>
      <w:rFonts w:ascii="Arial" w:hAnsi="Arial" w:eastAsia="黑体"/>
      <w:sz w:val="24"/>
    </w:rPr>
  </w:style>
  <w:style w:type="paragraph" w:styleId="12">
    <w:name w:val="heading 9"/>
    <w:basedOn w:val="1"/>
    <w:next w:val="1"/>
    <w:link w:val="433"/>
    <w:qFormat/>
    <w:uiPriority w:val="0"/>
    <w:pPr>
      <w:keepNext/>
      <w:keepLines/>
      <w:spacing w:before="240" w:after="64" w:line="317" w:lineRule="auto"/>
      <w:outlineLvl w:val="8"/>
    </w:pPr>
    <w:rPr>
      <w:rFonts w:ascii="Arial" w:hAnsi="Arial" w:eastAsia="黑体"/>
    </w:rPr>
  </w:style>
  <w:style w:type="character" w:default="1" w:styleId="36">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0"/>
    <w:pPr>
      <w:spacing w:after="120"/>
    </w:pPr>
  </w:style>
  <w:style w:type="paragraph" w:styleId="13">
    <w:name w:val="toc 7"/>
    <w:basedOn w:val="1"/>
    <w:next w:val="1"/>
    <w:qFormat/>
    <w:uiPriority w:val="0"/>
    <w:pPr>
      <w:ind w:left="2520" w:leftChars="1200"/>
    </w:pPr>
  </w:style>
  <w:style w:type="paragraph" w:styleId="14">
    <w:name w:val="caption"/>
    <w:basedOn w:val="1"/>
    <w:next w:val="1"/>
    <w:link w:val="435"/>
    <w:qFormat/>
    <w:uiPriority w:val="0"/>
    <w:rPr>
      <w:rFonts w:ascii="Arial" w:hAnsi="Arial" w:eastAsia="黑体"/>
      <w:sz w:val="20"/>
    </w:rPr>
  </w:style>
  <w:style w:type="paragraph" w:styleId="15">
    <w:name w:val="List Bullet"/>
    <w:basedOn w:val="1"/>
    <w:qFormat/>
    <w:uiPriority w:val="0"/>
    <w:pPr>
      <w:numPr>
        <w:ilvl w:val="0"/>
        <w:numId w:val="1"/>
      </w:numPr>
    </w:pPr>
  </w:style>
  <w:style w:type="paragraph" w:styleId="16">
    <w:name w:val="annotation text"/>
    <w:basedOn w:val="1"/>
    <w:link w:val="436"/>
    <w:qFormat/>
    <w:uiPriority w:val="0"/>
    <w:pPr>
      <w:jc w:val="left"/>
    </w:pPr>
  </w:style>
  <w:style w:type="paragraph" w:styleId="17">
    <w:name w:val="List Bullet 3"/>
    <w:basedOn w:val="1"/>
    <w:qFormat/>
    <w:uiPriority w:val="0"/>
    <w:pPr>
      <w:numPr>
        <w:ilvl w:val="0"/>
        <w:numId w:val="2"/>
      </w:numPr>
    </w:pPr>
  </w:style>
  <w:style w:type="paragraph" w:styleId="18">
    <w:name w:val="Body Text"/>
    <w:basedOn w:val="1"/>
    <w:next w:val="19"/>
    <w:link w:val="451"/>
    <w:qFormat/>
    <w:uiPriority w:val="0"/>
    <w:pPr>
      <w:spacing w:after="120"/>
    </w:pPr>
  </w:style>
  <w:style w:type="paragraph" w:customStyle="1" w:styleId="19">
    <w:name w:val="Default"/>
    <w:next w:val="20"/>
    <w:link w:val="452"/>
    <w:qFormat/>
    <w:uiPriority w:val="0"/>
    <w:pPr>
      <w:widowControl w:val="0"/>
      <w:autoSpaceDE w:val="0"/>
      <w:autoSpaceDN w:val="0"/>
      <w:adjustRightInd w:val="0"/>
      <w:spacing w:after="160" w:line="278" w:lineRule="auto"/>
    </w:pPr>
    <w:rPr>
      <w:rFonts w:ascii="宋体" w:hAnsi="Times New Roman" w:eastAsia="宋体" w:cs="宋体"/>
      <w:color w:val="000000"/>
      <w:sz w:val="24"/>
      <w:szCs w:val="24"/>
      <w:lang w:val="en-US" w:eastAsia="zh-CN" w:bidi="ar-SA"/>
    </w:rPr>
  </w:style>
  <w:style w:type="paragraph" w:styleId="20">
    <w:name w:val="table of figures"/>
    <w:basedOn w:val="1"/>
    <w:next w:val="1"/>
    <w:qFormat/>
    <w:uiPriority w:val="0"/>
    <w:pPr>
      <w:spacing w:line="360" w:lineRule="auto"/>
      <w:ind w:left="840" w:leftChars="200" w:hanging="420" w:hangingChars="200"/>
    </w:pPr>
    <w:rPr>
      <w:rFonts w:ascii="Arial" w:hAnsi="Arial" w:cs="宋体"/>
      <w:sz w:val="24"/>
    </w:rPr>
  </w:style>
  <w:style w:type="paragraph" w:styleId="21">
    <w:name w:val="List Bullet 2"/>
    <w:basedOn w:val="1"/>
    <w:qFormat/>
    <w:uiPriority w:val="0"/>
    <w:pPr>
      <w:numPr>
        <w:ilvl w:val="0"/>
        <w:numId w:val="3"/>
      </w:numPr>
    </w:pPr>
  </w:style>
  <w:style w:type="paragraph" w:styleId="22">
    <w:name w:val="toc 5"/>
    <w:basedOn w:val="1"/>
    <w:next w:val="1"/>
    <w:qFormat/>
    <w:uiPriority w:val="0"/>
    <w:pPr>
      <w:ind w:left="1680" w:leftChars="800"/>
    </w:pPr>
  </w:style>
  <w:style w:type="paragraph" w:styleId="23">
    <w:name w:val="toc 3"/>
    <w:basedOn w:val="1"/>
    <w:next w:val="1"/>
    <w:link w:val="438"/>
    <w:qFormat/>
    <w:uiPriority w:val="0"/>
    <w:pPr>
      <w:ind w:left="840" w:leftChars="400"/>
    </w:pPr>
  </w:style>
  <w:style w:type="paragraph" w:styleId="24">
    <w:name w:val="toc 8"/>
    <w:basedOn w:val="1"/>
    <w:next w:val="1"/>
    <w:qFormat/>
    <w:uiPriority w:val="0"/>
    <w:pPr>
      <w:ind w:left="2940" w:leftChars="1400"/>
    </w:pPr>
  </w:style>
  <w:style w:type="paragraph" w:styleId="25">
    <w:name w:val="footer"/>
    <w:basedOn w:val="1"/>
    <w:link w:val="455"/>
    <w:qFormat/>
    <w:uiPriority w:val="0"/>
    <w:pPr>
      <w:tabs>
        <w:tab w:val="center" w:pos="4153"/>
        <w:tab w:val="right" w:pos="8306"/>
      </w:tabs>
      <w:snapToGrid w:val="0"/>
      <w:jc w:val="left"/>
    </w:pPr>
    <w:rPr>
      <w:sz w:val="18"/>
    </w:rPr>
  </w:style>
  <w:style w:type="paragraph" w:styleId="26">
    <w:name w:val="header"/>
    <w:basedOn w:val="1"/>
    <w:link w:val="45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7">
    <w:name w:val="toc 1"/>
    <w:basedOn w:val="1"/>
    <w:next w:val="1"/>
    <w:qFormat/>
    <w:uiPriority w:val="0"/>
  </w:style>
  <w:style w:type="paragraph" w:styleId="28">
    <w:name w:val="toc 4"/>
    <w:basedOn w:val="1"/>
    <w:next w:val="1"/>
    <w:qFormat/>
    <w:uiPriority w:val="0"/>
    <w:pPr>
      <w:ind w:left="1260" w:leftChars="600"/>
    </w:pPr>
  </w:style>
  <w:style w:type="paragraph" w:styleId="29">
    <w:name w:val="Subtitle"/>
    <w:basedOn w:val="1"/>
    <w:link w:val="441"/>
    <w:qFormat/>
    <w:uiPriority w:val="0"/>
    <w:pPr>
      <w:spacing w:before="240" w:after="60" w:line="312" w:lineRule="auto"/>
      <w:jc w:val="center"/>
      <w:outlineLvl w:val="1"/>
    </w:pPr>
    <w:rPr>
      <w:rFonts w:ascii="Arial" w:hAnsi="Arial"/>
      <w:b/>
      <w:kern w:val="28"/>
      <w:sz w:val="32"/>
    </w:rPr>
  </w:style>
  <w:style w:type="paragraph" w:styleId="30">
    <w:name w:val="footnote text"/>
    <w:basedOn w:val="1"/>
    <w:link w:val="442"/>
    <w:qFormat/>
    <w:uiPriority w:val="0"/>
    <w:pPr>
      <w:snapToGrid w:val="0"/>
      <w:jc w:val="left"/>
    </w:pPr>
    <w:rPr>
      <w:sz w:val="18"/>
    </w:rPr>
  </w:style>
  <w:style w:type="paragraph" w:styleId="31">
    <w:name w:val="toc 6"/>
    <w:basedOn w:val="1"/>
    <w:next w:val="1"/>
    <w:qFormat/>
    <w:uiPriority w:val="0"/>
    <w:pPr>
      <w:ind w:left="2100" w:leftChars="1000"/>
    </w:pPr>
  </w:style>
  <w:style w:type="paragraph" w:styleId="32">
    <w:name w:val="toc 2"/>
    <w:basedOn w:val="1"/>
    <w:next w:val="1"/>
    <w:qFormat/>
    <w:uiPriority w:val="0"/>
    <w:pPr>
      <w:ind w:left="420" w:leftChars="200"/>
    </w:pPr>
  </w:style>
  <w:style w:type="paragraph" w:styleId="33">
    <w:name w:val="toc 9"/>
    <w:basedOn w:val="1"/>
    <w:next w:val="1"/>
    <w:qFormat/>
    <w:uiPriority w:val="0"/>
    <w:pPr>
      <w:ind w:left="3360" w:leftChars="1600"/>
    </w:pPr>
  </w:style>
  <w:style w:type="paragraph" w:styleId="34">
    <w:name w:val="Title"/>
    <w:basedOn w:val="1"/>
    <w:link w:val="443"/>
    <w:qFormat/>
    <w:uiPriority w:val="0"/>
    <w:pPr>
      <w:spacing w:before="240" w:after="60"/>
      <w:jc w:val="center"/>
      <w:outlineLvl w:val="0"/>
    </w:pPr>
    <w:rPr>
      <w:rFonts w:ascii="Arial" w:hAnsi="Arial"/>
      <w:b/>
      <w:sz w:val="32"/>
    </w:rPr>
  </w:style>
  <w:style w:type="character" w:styleId="37">
    <w:name w:val="Strong"/>
    <w:basedOn w:val="36"/>
    <w:qFormat/>
    <w:uiPriority w:val="0"/>
    <w:rPr>
      <w:b/>
    </w:rPr>
  </w:style>
  <w:style w:type="character" w:styleId="38">
    <w:name w:val="FollowedHyperlink"/>
    <w:basedOn w:val="36"/>
    <w:qFormat/>
    <w:uiPriority w:val="0"/>
    <w:rPr>
      <w:color w:val="800080"/>
      <w:u w:val="single"/>
    </w:rPr>
  </w:style>
  <w:style w:type="character" w:styleId="39">
    <w:name w:val="Emphasis"/>
    <w:basedOn w:val="36"/>
    <w:qFormat/>
    <w:uiPriority w:val="0"/>
    <w:rPr>
      <w:i/>
    </w:rPr>
  </w:style>
  <w:style w:type="character" w:styleId="40">
    <w:name w:val="Hyperlink"/>
    <w:basedOn w:val="36"/>
    <w:qFormat/>
    <w:uiPriority w:val="0"/>
    <w:rPr>
      <w:color w:val="0000FF"/>
      <w:u w:val="single"/>
    </w:rPr>
  </w:style>
  <w:style w:type="paragraph" w:customStyle="1" w:styleId="41">
    <w:name w:val="无间隔1"/>
    <w:next w:val="14"/>
    <w:qFormat/>
    <w:uiPriority w:val="0"/>
    <w:pPr>
      <w:widowControl w:val="0"/>
      <w:spacing w:after="160" w:line="278" w:lineRule="auto"/>
      <w:jc w:val="both"/>
    </w:pPr>
    <w:rPr>
      <w:rFonts w:ascii="Times New Roman" w:hAnsi="Times New Roman" w:eastAsia="宋体" w:cs="Times New Roman"/>
      <w:kern w:val="2"/>
      <w:sz w:val="21"/>
      <w:szCs w:val="22"/>
      <w:lang w:val="en-US" w:eastAsia="zh-CN" w:bidi="ar-SA"/>
    </w:rPr>
  </w:style>
  <w:style w:type="paragraph" w:customStyle="1" w:styleId="42">
    <w:name w:val="样式9"/>
    <w:basedOn w:val="1"/>
    <w:next w:val="1"/>
    <w:qFormat/>
    <w:uiPriority w:val="0"/>
    <w:pPr>
      <w:keepNext/>
      <w:keepLines/>
      <w:spacing w:before="340" w:after="330" w:line="578" w:lineRule="auto"/>
      <w:jc w:val="center"/>
      <w:outlineLvl w:val="0"/>
    </w:pPr>
    <w:rPr>
      <w:rFonts w:hint="eastAsia" w:ascii="Times New Roman" w:hAnsi="Times New Roman" w:cs="Times New Roman"/>
      <w:b/>
      <w:bCs/>
      <w:kern w:val="44"/>
      <w:sz w:val="30"/>
      <w:szCs w:val="44"/>
    </w:rPr>
  </w:style>
  <w:style w:type="paragraph" w:customStyle="1" w:styleId="43">
    <w:name w:val="样式10"/>
    <w:basedOn w:val="1"/>
    <w:next w:val="1"/>
    <w:qFormat/>
    <w:uiPriority w:val="0"/>
    <w:pPr>
      <w:keepNext/>
      <w:keepLines/>
      <w:spacing w:before="340" w:after="330" w:line="578" w:lineRule="auto"/>
      <w:jc w:val="center"/>
      <w:outlineLvl w:val="0"/>
    </w:pPr>
    <w:rPr>
      <w:rFonts w:hint="eastAsia"/>
      <w:b/>
      <w:bCs/>
      <w:kern w:val="44"/>
      <w:sz w:val="32"/>
      <w:szCs w:val="44"/>
    </w:rPr>
  </w:style>
  <w:style w:type="paragraph" w:customStyle="1" w:styleId="44">
    <w:name w:val="图表目录1"/>
    <w:basedOn w:val="1"/>
    <w:next w:val="1"/>
    <w:qFormat/>
    <w:uiPriority w:val="0"/>
    <w:pPr>
      <w:spacing w:line="360" w:lineRule="auto"/>
      <w:ind w:left="840" w:leftChars="200" w:hanging="420" w:hangingChars="200"/>
    </w:pPr>
    <w:rPr>
      <w:rFonts w:cs="宋体"/>
      <w:sz w:val="24"/>
    </w:rPr>
  </w:style>
  <w:style w:type="character" w:customStyle="1" w:styleId="45">
    <w:name w:val="标题 3 Char"/>
    <w:semiHidden/>
    <w:qFormat/>
    <w:uiPriority w:val="0"/>
    <w:rPr>
      <w:rFonts w:ascii="宋体" w:hAnsi="宋体" w:cs="宋体"/>
      <w:b/>
      <w:bCs/>
      <w:sz w:val="27"/>
      <w:szCs w:val="27"/>
    </w:rPr>
  </w:style>
  <w:style w:type="character" w:customStyle="1" w:styleId="46">
    <w:name w:val="批注主题 Char"/>
    <w:link w:val="47"/>
    <w:semiHidden/>
    <w:qFormat/>
    <w:uiPriority w:val="0"/>
    <w:rPr>
      <w:b/>
      <w:bCs/>
      <w:kern w:val="2"/>
      <w:sz w:val="21"/>
      <w:szCs w:val="24"/>
    </w:rPr>
  </w:style>
  <w:style w:type="paragraph" w:customStyle="1" w:styleId="47">
    <w:name w:val="批注主题1"/>
    <w:basedOn w:val="16"/>
    <w:next w:val="16"/>
    <w:link w:val="46"/>
    <w:qFormat/>
    <w:uiPriority w:val="0"/>
    <w:rPr>
      <w:b/>
      <w:bCs/>
    </w:rPr>
  </w:style>
  <w:style w:type="character" w:customStyle="1" w:styleId="48">
    <w:name w:val="正文缩进 Char"/>
    <w:link w:val="49"/>
    <w:semiHidden/>
    <w:qFormat/>
    <w:uiPriority w:val="0"/>
    <w:rPr>
      <w:rFonts w:ascii="宋体"/>
      <w:sz w:val="24"/>
    </w:rPr>
  </w:style>
  <w:style w:type="paragraph" w:customStyle="1" w:styleId="49">
    <w:name w:val="正文缩进1"/>
    <w:basedOn w:val="1"/>
    <w:link w:val="48"/>
    <w:qFormat/>
    <w:uiPriority w:val="0"/>
    <w:pPr>
      <w:ind w:firstLine="420" w:firstLineChars="200"/>
    </w:pPr>
    <w:rPr>
      <w:rFonts w:ascii="宋体"/>
      <w:sz w:val="24"/>
    </w:rPr>
  </w:style>
  <w:style w:type="character" w:customStyle="1" w:styleId="50">
    <w:name w:val="文档结构图 Char"/>
    <w:link w:val="51"/>
    <w:semiHidden/>
    <w:qFormat/>
    <w:uiPriority w:val="0"/>
    <w:rPr>
      <w:kern w:val="2"/>
      <w:sz w:val="21"/>
      <w:shd w:val="clear" w:color="auto" w:fill="000080"/>
    </w:rPr>
  </w:style>
  <w:style w:type="paragraph" w:customStyle="1" w:styleId="51">
    <w:name w:val="文档结构图1"/>
    <w:basedOn w:val="1"/>
    <w:link w:val="50"/>
    <w:qFormat/>
    <w:uiPriority w:val="0"/>
    <w:pPr>
      <w:shd w:val="clear" w:color="auto" w:fill="000080"/>
    </w:pPr>
    <w:rPr>
      <w:shd w:val="clear" w:color="auto" w:fill="000080"/>
    </w:rPr>
  </w:style>
  <w:style w:type="character" w:customStyle="1" w:styleId="52">
    <w:name w:val="正文文本 3 Char"/>
    <w:link w:val="53"/>
    <w:semiHidden/>
    <w:qFormat/>
    <w:uiPriority w:val="0"/>
    <w:rPr>
      <w:rFonts w:ascii="黑体" w:hAnsi="Arial" w:eastAsia="黑体"/>
      <w:b/>
      <w:kern w:val="2"/>
      <w:sz w:val="28"/>
      <w:lang w:val="en-US" w:eastAsia="zh-CN" w:bidi="ar-SA"/>
    </w:rPr>
  </w:style>
  <w:style w:type="paragraph" w:customStyle="1" w:styleId="53">
    <w:name w:val="正文文本 31"/>
    <w:basedOn w:val="1"/>
    <w:link w:val="52"/>
    <w:qFormat/>
    <w:uiPriority w:val="0"/>
    <w:rPr>
      <w:rFonts w:ascii="黑体" w:hAnsi="Arial" w:eastAsia="黑体"/>
      <w:b/>
      <w:sz w:val="28"/>
    </w:rPr>
  </w:style>
  <w:style w:type="character" w:customStyle="1" w:styleId="54">
    <w:name w:val="正文文本 Char"/>
    <w:semiHidden/>
    <w:qFormat/>
    <w:uiPriority w:val="0"/>
    <w:rPr>
      <w:kern w:val="2"/>
      <w:sz w:val="21"/>
      <w:szCs w:val="24"/>
    </w:rPr>
  </w:style>
  <w:style w:type="character" w:customStyle="1" w:styleId="55">
    <w:name w:val="日期 Char"/>
    <w:link w:val="56"/>
    <w:semiHidden/>
    <w:qFormat/>
    <w:uiPriority w:val="0"/>
    <w:rPr>
      <w:b/>
      <w:kern w:val="2"/>
      <w:sz w:val="28"/>
    </w:rPr>
  </w:style>
  <w:style w:type="paragraph" w:customStyle="1" w:styleId="56">
    <w:name w:val="日期1"/>
    <w:basedOn w:val="1"/>
    <w:next w:val="1"/>
    <w:link w:val="55"/>
    <w:qFormat/>
    <w:uiPriority w:val="0"/>
    <w:pPr>
      <w:ind w:left="100" w:leftChars="2500"/>
    </w:pPr>
    <w:rPr>
      <w:b/>
      <w:sz w:val="28"/>
    </w:rPr>
  </w:style>
  <w:style w:type="character" w:customStyle="1" w:styleId="57">
    <w:name w:val="正文文本缩进 2 Char"/>
    <w:link w:val="58"/>
    <w:semiHidden/>
    <w:qFormat/>
    <w:uiPriority w:val="0"/>
    <w:rPr>
      <w:rFonts w:ascii="Arial" w:hAnsi="Arial" w:eastAsia="仿宋_GB2312"/>
      <w:kern w:val="2"/>
      <w:sz w:val="32"/>
    </w:rPr>
  </w:style>
  <w:style w:type="paragraph" w:customStyle="1" w:styleId="58">
    <w:name w:val="正文文本缩进 21"/>
    <w:basedOn w:val="1"/>
    <w:link w:val="57"/>
    <w:qFormat/>
    <w:uiPriority w:val="0"/>
    <w:pPr>
      <w:ind w:left="630" w:firstLine="645"/>
    </w:pPr>
    <w:rPr>
      <w:rFonts w:ascii="Arial" w:hAnsi="Arial" w:eastAsia="仿宋_GB2312"/>
      <w:sz w:val="32"/>
    </w:rPr>
  </w:style>
  <w:style w:type="character" w:customStyle="1" w:styleId="59">
    <w:name w:val="页脚 Char"/>
    <w:semiHidden/>
    <w:qFormat/>
    <w:uiPriority w:val="0"/>
    <w:rPr>
      <w:kern w:val="2"/>
      <w:sz w:val="18"/>
      <w:szCs w:val="18"/>
    </w:rPr>
  </w:style>
  <w:style w:type="character" w:customStyle="1" w:styleId="60">
    <w:name w:val="页眉 Char"/>
    <w:semiHidden/>
    <w:qFormat/>
    <w:uiPriority w:val="0"/>
    <w:rPr>
      <w:kern w:val="2"/>
      <w:sz w:val="18"/>
      <w:szCs w:val="18"/>
    </w:rPr>
  </w:style>
  <w:style w:type="character" w:customStyle="1" w:styleId="61">
    <w:name w:val="签名 Char"/>
    <w:link w:val="62"/>
    <w:semiHidden/>
    <w:qFormat/>
    <w:uiPriority w:val="0"/>
    <w:rPr>
      <w:rFonts w:cs="Droid Sans"/>
      <w:kern w:val="2"/>
      <w:sz w:val="18"/>
    </w:rPr>
  </w:style>
  <w:style w:type="paragraph" w:customStyle="1" w:styleId="62">
    <w:name w:val="签名1"/>
    <w:basedOn w:val="1"/>
    <w:link w:val="61"/>
    <w:qFormat/>
    <w:uiPriority w:val="0"/>
    <w:pPr>
      <w:ind w:left="2100" w:leftChars="2100"/>
    </w:pPr>
    <w:rPr>
      <w:rFonts w:cs="Droid Sans"/>
      <w:sz w:val="18"/>
    </w:rPr>
  </w:style>
  <w:style w:type="character" w:customStyle="1" w:styleId="63">
    <w:name w:val="正文文本缩进 3 Char"/>
    <w:link w:val="64"/>
    <w:semiHidden/>
    <w:qFormat/>
    <w:uiPriority w:val="0"/>
    <w:rPr>
      <w:rFonts w:ascii="仿宋_GB2312" w:hAnsi="Arial" w:eastAsia="仿宋_GB2312"/>
      <w:color w:val="000000"/>
      <w:kern w:val="2"/>
      <w:sz w:val="30"/>
      <w:lang w:val="en-US" w:eastAsia="zh-CN" w:bidi="ar-SA"/>
    </w:rPr>
  </w:style>
  <w:style w:type="paragraph" w:customStyle="1" w:styleId="64">
    <w:name w:val="正文文本缩进 31"/>
    <w:basedOn w:val="1"/>
    <w:link w:val="63"/>
    <w:qFormat/>
    <w:uiPriority w:val="0"/>
    <w:pPr>
      <w:ind w:firstLine="645"/>
    </w:pPr>
    <w:rPr>
      <w:rFonts w:ascii="仿宋_GB2312" w:hAnsi="Arial" w:eastAsia="仿宋_GB2312"/>
      <w:color w:val="000000"/>
      <w:sz w:val="30"/>
    </w:rPr>
  </w:style>
  <w:style w:type="character" w:customStyle="1" w:styleId="65">
    <w:name w:val="正文文本 2 Char"/>
    <w:link w:val="66"/>
    <w:semiHidden/>
    <w:qFormat/>
    <w:uiPriority w:val="0"/>
    <w:rPr>
      <w:rFonts w:ascii="仿宋_GB2312" w:eastAsia="仿宋_GB2312"/>
      <w:b/>
      <w:kern w:val="2"/>
      <w:sz w:val="24"/>
      <w:lang w:val="en-US" w:eastAsia="zh-CN" w:bidi="ar-SA"/>
    </w:rPr>
  </w:style>
  <w:style w:type="paragraph" w:customStyle="1" w:styleId="66">
    <w:name w:val="正文文本 21"/>
    <w:basedOn w:val="1"/>
    <w:link w:val="65"/>
    <w:qFormat/>
    <w:uiPriority w:val="0"/>
    <w:rPr>
      <w:rFonts w:ascii="仿宋_GB2312" w:eastAsia="仿宋_GB2312"/>
      <w:b/>
      <w:sz w:val="24"/>
    </w:rPr>
  </w:style>
  <w:style w:type="character" w:customStyle="1" w:styleId="67">
    <w:name w:val="信息标题 Char"/>
    <w:link w:val="68"/>
    <w:semiHidden/>
    <w:qFormat/>
    <w:uiPriority w:val="0"/>
    <w:rPr>
      <w:rFonts w:ascii="Cambria" w:hAnsi="Cambria" w:cs="Cambria"/>
      <w:kern w:val="2"/>
      <w:sz w:val="24"/>
      <w:szCs w:val="24"/>
      <w:shd w:val="pct20" w:color="auto" w:fill="auto"/>
    </w:rPr>
  </w:style>
  <w:style w:type="paragraph" w:customStyle="1" w:styleId="68">
    <w:name w:val="信息标题1"/>
    <w:basedOn w:val="1"/>
    <w:link w:val="67"/>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Cambria"/>
      <w:sz w:val="24"/>
      <w:shd w:val="pct20" w:color="auto" w:fill="auto"/>
    </w:rPr>
  </w:style>
  <w:style w:type="character" w:customStyle="1" w:styleId="69">
    <w:name w:val="HTML 预设格式 Char"/>
    <w:link w:val="70"/>
    <w:semiHidden/>
    <w:qFormat/>
    <w:uiPriority w:val="0"/>
    <w:rPr>
      <w:rFonts w:ascii="宋体" w:hAnsi="宋体" w:cs="宋体"/>
      <w:sz w:val="24"/>
      <w:szCs w:val="24"/>
    </w:rPr>
  </w:style>
  <w:style w:type="paragraph" w:customStyle="1" w:styleId="70">
    <w:name w:val="HTML 预设格式1"/>
    <w:basedOn w:val="1"/>
    <w:link w:val="6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rPr>
  </w:style>
  <w:style w:type="paragraph" w:customStyle="1" w:styleId="71">
    <w:name w:val="正文文本缩进1"/>
    <w:basedOn w:val="1"/>
    <w:link w:val="437"/>
    <w:qFormat/>
    <w:uiPriority w:val="0"/>
    <w:pPr>
      <w:spacing w:after="120"/>
      <w:ind w:left="420" w:leftChars="200"/>
    </w:pPr>
  </w:style>
  <w:style w:type="paragraph" w:customStyle="1" w:styleId="72">
    <w:name w:val="纯文本1"/>
    <w:basedOn w:val="1"/>
    <w:link w:val="439"/>
    <w:qFormat/>
    <w:uiPriority w:val="0"/>
    <w:rPr>
      <w:rFonts w:ascii="宋体" w:hAnsi="Courier New" w:cs="Courier New"/>
      <w:szCs w:val="21"/>
    </w:rPr>
  </w:style>
  <w:style w:type="paragraph" w:customStyle="1" w:styleId="73">
    <w:name w:val="正文文本首行缩进1"/>
    <w:basedOn w:val="18"/>
    <w:link w:val="434"/>
    <w:qFormat/>
    <w:uiPriority w:val="0"/>
    <w:pPr>
      <w:ind w:firstLine="420" w:firstLineChars="100"/>
    </w:pPr>
    <w:rPr>
      <w:rFonts w:ascii="宋体" w:hAnsi="宋体"/>
    </w:rPr>
  </w:style>
  <w:style w:type="paragraph" w:customStyle="1" w:styleId="74">
    <w:name w:val="正文文本首行缩进 21"/>
    <w:basedOn w:val="71"/>
    <w:link w:val="440"/>
    <w:qFormat/>
    <w:uiPriority w:val="0"/>
    <w:pPr>
      <w:ind w:firstLine="420" w:firstLineChars="200"/>
    </w:pPr>
    <w:rPr>
      <w:rFonts w:ascii="等线" w:hAnsi="等线" w:eastAsia="等线"/>
    </w:rPr>
  </w:style>
  <w:style w:type="paragraph" w:customStyle="1" w:styleId="75">
    <w:name w:val="正文缩进11"/>
    <w:basedOn w:val="1"/>
    <w:link w:val="444"/>
    <w:qFormat/>
    <w:uiPriority w:val="0"/>
    <w:pPr>
      <w:autoSpaceDE w:val="0"/>
      <w:autoSpaceDN w:val="0"/>
      <w:adjustRightInd w:val="0"/>
      <w:ind w:firstLine="420"/>
      <w:jc w:val="left"/>
    </w:pPr>
    <w:rPr>
      <w:rFonts w:ascii="Times New Roman" w:hAnsi="Times New Roman"/>
      <w:sz w:val="20"/>
    </w:rPr>
  </w:style>
  <w:style w:type="paragraph" w:customStyle="1" w:styleId="76">
    <w:name w:val="正文文本缩进111"/>
    <w:basedOn w:val="1"/>
    <w:link w:val="453"/>
    <w:qFormat/>
    <w:uiPriority w:val="0"/>
    <w:pPr>
      <w:ind w:firstLine="645"/>
    </w:pPr>
    <w:rPr>
      <w:rFonts w:ascii="楷体_GB2312" w:eastAsia="楷体_GB2312"/>
      <w:sz w:val="32"/>
    </w:rPr>
  </w:style>
  <w:style w:type="paragraph" w:customStyle="1" w:styleId="77">
    <w:name w:val="图表目录11"/>
    <w:basedOn w:val="1"/>
    <w:next w:val="1"/>
    <w:qFormat/>
    <w:uiPriority w:val="0"/>
    <w:pPr>
      <w:spacing w:line="360" w:lineRule="auto"/>
      <w:ind w:left="840" w:leftChars="200" w:hanging="420" w:hangingChars="200"/>
    </w:pPr>
    <w:rPr>
      <w:rFonts w:ascii="Arial" w:hAnsi="Arial" w:cs="宋体"/>
      <w:sz w:val="24"/>
    </w:rPr>
  </w:style>
  <w:style w:type="paragraph" w:customStyle="1" w:styleId="78">
    <w:name w:val="普通(网站)1"/>
    <w:basedOn w:val="1"/>
    <w:qFormat/>
    <w:uiPriority w:val="0"/>
    <w:pPr>
      <w:widowControl/>
      <w:spacing w:before="75" w:after="75" w:line="432" w:lineRule="auto"/>
    </w:pPr>
    <w:rPr>
      <w:rFonts w:eastAsia="Times New Roman"/>
      <w:kern w:val="0"/>
      <w:sz w:val="24"/>
    </w:rPr>
  </w:style>
  <w:style w:type="paragraph" w:customStyle="1" w:styleId="79">
    <w:name w:val="正文文本首行缩进11"/>
    <w:basedOn w:val="18"/>
    <w:link w:val="457"/>
    <w:qFormat/>
    <w:uiPriority w:val="0"/>
    <w:pPr>
      <w:autoSpaceDE w:val="0"/>
      <w:autoSpaceDN w:val="0"/>
      <w:adjustRightInd w:val="0"/>
      <w:spacing w:line="360" w:lineRule="auto"/>
      <w:ind w:right="-24" w:rightChars="-10" w:firstLine="425" w:firstLineChars="225"/>
    </w:pPr>
    <w:rPr>
      <w:rFonts w:ascii="Arial" w:hAnsi="Arial" w:eastAsia="仿宋_GB2312" w:cs="Arial"/>
      <w:sz w:val="24"/>
      <w:szCs w:val="32"/>
    </w:rPr>
  </w:style>
  <w:style w:type="paragraph" w:customStyle="1" w:styleId="80">
    <w:name w:val="正文文本首行缩进 211"/>
    <w:basedOn w:val="76"/>
    <w:link w:val="458"/>
    <w:qFormat/>
    <w:uiPriority w:val="0"/>
    <w:pPr>
      <w:spacing w:after="120"/>
      <w:ind w:left="420" w:firstLine="210"/>
    </w:pPr>
  </w:style>
  <w:style w:type="paragraph" w:customStyle="1" w:styleId="81">
    <w:name w:val="纯文本11"/>
    <w:basedOn w:val="1"/>
    <w:link w:val="449"/>
    <w:qFormat/>
    <w:uiPriority w:val="0"/>
    <w:rPr>
      <w:rFonts w:ascii="宋体" w:hAnsi="Courier New"/>
    </w:rPr>
  </w:style>
  <w:style w:type="paragraph" w:customStyle="1" w:styleId="82">
    <w:name w:val="批注框文本 Char Char"/>
    <w:basedOn w:val="1"/>
    <w:link w:val="454"/>
    <w:qFormat/>
    <w:uiPriority w:val="0"/>
    <w:rPr>
      <w:sz w:val="18"/>
      <w:szCs w:val="18"/>
    </w:rPr>
  </w:style>
  <w:style w:type="paragraph" w:customStyle="1" w:styleId="83">
    <w:name w:val="列表 31"/>
    <w:basedOn w:val="1"/>
    <w:qFormat/>
    <w:uiPriority w:val="0"/>
    <w:pPr>
      <w:ind w:left="600" w:leftChars="400" w:hanging="200" w:hangingChars="200"/>
    </w:pPr>
    <w:rPr>
      <w:rFonts w:cs="Droid Sans"/>
      <w:sz w:val="18"/>
    </w:rPr>
  </w:style>
  <w:style w:type="paragraph" w:customStyle="1" w:styleId="84">
    <w:name w:val="引文目录1"/>
    <w:basedOn w:val="1"/>
    <w:next w:val="1"/>
    <w:qFormat/>
    <w:uiPriority w:val="0"/>
    <w:pPr>
      <w:ind w:left="420" w:leftChars="200"/>
    </w:pPr>
  </w:style>
  <w:style w:type="paragraph" w:customStyle="1" w:styleId="85">
    <w:name w:val="索引 81"/>
    <w:basedOn w:val="1"/>
    <w:next w:val="1"/>
    <w:qFormat/>
    <w:uiPriority w:val="0"/>
    <w:pPr>
      <w:ind w:left="1400" w:leftChars="1400"/>
    </w:pPr>
  </w:style>
  <w:style w:type="paragraph" w:customStyle="1" w:styleId="86">
    <w:name w:val="索引 51"/>
    <w:basedOn w:val="1"/>
    <w:next w:val="1"/>
    <w:qFormat/>
    <w:uiPriority w:val="0"/>
    <w:pPr>
      <w:ind w:left="800" w:leftChars="800"/>
    </w:pPr>
  </w:style>
  <w:style w:type="paragraph" w:customStyle="1" w:styleId="87">
    <w:name w:val="引文目录标题1"/>
    <w:basedOn w:val="1"/>
    <w:next w:val="1"/>
    <w:qFormat/>
    <w:uiPriority w:val="0"/>
    <w:pPr>
      <w:spacing w:before="120"/>
    </w:pPr>
    <w:rPr>
      <w:rFonts w:ascii="Arial" w:hAnsi="Arial"/>
      <w:b/>
      <w:bCs/>
    </w:rPr>
  </w:style>
  <w:style w:type="paragraph" w:customStyle="1" w:styleId="88">
    <w:name w:val="索引 61"/>
    <w:basedOn w:val="1"/>
    <w:next w:val="1"/>
    <w:qFormat/>
    <w:uiPriority w:val="0"/>
    <w:pPr>
      <w:ind w:left="1000" w:leftChars="1000"/>
    </w:pPr>
  </w:style>
  <w:style w:type="paragraph" w:customStyle="1" w:styleId="89">
    <w:name w:val="列表 21"/>
    <w:basedOn w:val="1"/>
    <w:qFormat/>
    <w:uiPriority w:val="0"/>
    <w:pPr>
      <w:ind w:left="400" w:leftChars="200" w:hanging="200" w:hangingChars="200"/>
    </w:pPr>
    <w:rPr>
      <w:rFonts w:cs="Droid Sans"/>
      <w:sz w:val="18"/>
    </w:rPr>
  </w:style>
  <w:style w:type="paragraph" w:customStyle="1" w:styleId="90">
    <w:name w:val="列表接续1"/>
    <w:basedOn w:val="1"/>
    <w:qFormat/>
    <w:uiPriority w:val="0"/>
    <w:pPr>
      <w:spacing w:after="120"/>
      <w:ind w:left="420"/>
    </w:pPr>
  </w:style>
  <w:style w:type="paragraph" w:customStyle="1" w:styleId="91">
    <w:name w:val="文本块1"/>
    <w:basedOn w:val="1"/>
    <w:qFormat/>
    <w:uiPriority w:val="0"/>
    <w:pPr>
      <w:adjustRightInd w:val="0"/>
      <w:snapToGrid w:val="0"/>
      <w:spacing w:line="352" w:lineRule="auto"/>
      <w:ind w:left="342" w:leftChars="342" w:right="-38" w:rightChars="-38" w:firstLine="200" w:firstLineChars="200"/>
    </w:pPr>
    <w:rPr>
      <w:rFonts w:cs="Droid Sans"/>
      <w:sz w:val="24"/>
    </w:rPr>
  </w:style>
  <w:style w:type="paragraph" w:customStyle="1" w:styleId="92">
    <w:name w:val="索引 41"/>
    <w:basedOn w:val="1"/>
    <w:next w:val="1"/>
    <w:qFormat/>
    <w:uiPriority w:val="0"/>
    <w:pPr>
      <w:ind w:left="600" w:leftChars="600"/>
    </w:pPr>
  </w:style>
  <w:style w:type="paragraph" w:customStyle="1" w:styleId="93">
    <w:name w:val="索引 31"/>
    <w:basedOn w:val="1"/>
    <w:next w:val="1"/>
    <w:qFormat/>
    <w:uiPriority w:val="0"/>
    <w:pPr>
      <w:ind w:left="400" w:leftChars="400"/>
    </w:pPr>
  </w:style>
  <w:style w:type="paragraph" w:customStyle="1" w:styleId="94">
    <w:name w:val="索引标题1"/>
    <w:basedOn w:val="1"/>
    <w:next w:val="95"/>
    <w:qFormat/>
    <w:uiPriority w:val="0"/>
  </w:style>
  <w:style w:type="paragraph" w:customStyle="1" w:styleId="95">
    <w:name w:val="索引 11"/>
    <w:basedOn w:val="1"/>
    <w:next w:val="1"/>
    <w:qFormat/>
    <w:uiPriority w:val="0"/>
    <w:pPr>
      <w:jc w:val="center"/>
    </w:pPr>
    <w:rPr>
      <w:rFonts w:ascii="仿宋_GB2312" w:eastAsia="仿宋_GB2312"/>
      <w:b/>
      <w:bCs/>
      <w:sz w:val="28"/>
    </w:rPr>
  </w:style>
  <w:style w:type="paragraph" w:customStyle="1" w:styleId="96">
    <w:name w:val="列表1"/>
    <w:basedOn w:val="1"/>
    <w:qFormat/>
    <w:uiPriority w:val="0"/>
    <w:pPr>
      <w:ind w:left="200" w:hanging="200" w:hangingChars="200"/>
      <w:contextualSpacing/>
    </w:pPr>
  </w:style>
  <w:style w:type="paragraph" w:customStyle="1" w:styleId="97">
    <w:name w:val="列表 51"/>
    <w:basedOn w:val="1"/>
    <w:qFormat/>
    <w:uiPriority w:val="0"/>
    <w:pPr>
      <w:ind w:left="2100" w:hanging="420"/>
    </w:pPr>
  </w:style>
  <w:style w:type="paragraph" w:customStyle="1" w:styleId="98">
    <w:name w:val="索引 71"/>
    <w:basedOn w:val="1"/>
    <w:next w:val="1"/>
    <w:qFormat/>
    <w:uiPriority w:val="0"/>
    <w:pPr>
      <w:ind w:left="1200" w:leftChars="1200"/>
    </w:pPr>
  </w:style>
  <w:style w:type="paragraph" w:customStyle="1" w:styleId="99">
    <w:name w:val="索引 91"/>
    <w:basedOn w:val="1"/>
    <w:next w:val="1"/>
    <w:qFormat/>
    <w:uiPriority w:val="0"/>
    <w:pPr>
      <w:ind w:left="1600" w:leftChars="1600"/>
    </w:pPr>
  </w:style>
  <w:style w:type="paragraph" w:customStyle="1" w:styleId="100">
    <w:name w:val="列表 41"/>
    <w:basedOn w:val="1"/>
    <w:qFormat/>
    <w:uiPriority w:val="0"/>
    <w:pPr>
      <w:ind w:left="1680" w:hanging="420"/>
    </w:pPr>
  </w:style>
  <w:style w:type="paragraph" w:customStyle="1" w:styleId="101">
    <w:name w:val="列表接续 21"/>
    <w:basedOn w:val="1"/>
    <w:qFormat/>
    <w:uiPriority w:val="0"/>
    <w:pPr>
      <w:spacing w:after="120"/>
      <w:ind w:left="400" w:leftChars="400"/>
    </w:pPr>
    <w:rPr>
      <w:rFonts w:cs="Droid Sans"/>
      <w:sz w:val="18"/>
    </w:rPr>
  </w:style>
  <w:style w:type="paragraph" w:customStyle="1" w:styleId="102">
    <w:name w:val="列表接续 31"/>
    <w:basedOn w:val="1"/>
    <w:qFormat/>
    <w:uiPriority w:val="0"/>
    <w:pPr>
      <w:spacing w:after="120"/>
      <w:ind w:left="600" w:leftChars="600"/>
    </w:pPr>
    <w:rPr>
      <w:rFonts w:cs="Droid Sans"/>
      <w:sz w:val="18"/>
    </w:rPr>
  </w:style>
  <w:style w:type="paragraph" w:customStyle="1" w:styleId="103">
    <w:name w:val="索引 21"/>
    <w:basedOn w:val="1"/>
    <w:next w:val="1"/>
    <w:qFormat/>
    <w:uiPriority w:val="0"/>
    <w:pPr>
      <w:ind w:left="200" w:leftChars="200"/>
    </w:pPr>
  </w:style>
  <w:style w:type="paragraph" w:customStyle="1" w:styleId="104">
    <w:name w:val="Table Text"/>
    <w:link w:val="464"/>
    <w:qFormat/>
    <w:uiPriority w:val="0"/>
    <w:pPr>
      <w:snapToGrid w:val="0"/>
      <w:spacing w:before="80" w:after="80" w:line="278" w:lineRule="auto"/>
    </w:pPr>
    <w:rPr>
      <w:rFonts w:ascii="Arial" w:hAnsi="Arial" w:eastAsia="宋体" w:cs="Times New Roman"/>
      <w:kern w:val="2"/>
      <w:sz w:val="18"/>
      <w:szCs w:val="18"/>
      <w:lang w:val="en-US" w:eastAsia="zh-CN" w:bidi="ar-SA"/>
    </w:rPr>
  </w:style>
  <w:style w:type="paragraph" w:customStyle="1" w:styleId="105">
    <w:name w:val="标题1级"/>
    <w:basedOn w:val="106"/>
    <w:link w:val="483"/>
    <w:qFormat/>
    <w:uiPriority w:val="0"/>
    <w:pPr>
      <w:numPr>
        <w:ilvl w:val="0"/>
        <w:numId w:val="4"/>
      </w:numPr>
      <w:ind w:firstLine="0" w:firstLineChars="0"/>
      <w:outlineLvl w:val="0"/>
    </w:pPr>
    <w:rPr>
      <w:rFonts w:ascii="Arial" w:hAnsi="Arial" w:cs="宋体"/>
      <w:b/>
      <w:sz w:val="30"/>
      <w:szCs w:val="30"/>
    </w:rPr>
  </w:style>
  <w:style w:type="paragraph" w:customStyle="1" w:styleId="106">
    <w:name w:val="列出段落1"/>
    <w:basedOn w:val="1"/>
    <w:qFormat/>
    <w:uiPriority w:val="0"/>
    <w:pPr>
      <w:ind w:firstLine="200" w:firstLineChars="200"/>
    </w:pPr>
  </w:style>
  <w:style w:type="paragraph" w:customStyle="1" w:styleId="107">
    <w:name w:val="4级标题"/>
    <w:basedOn w:val="108"/>
    <w:link w:val="491"/>
    <w:qFormat/>
    <w:uiPriority w:val="0"/>
    <w:pPr>
      <w:numPr>
        <w:numId w:val="0"/>
      </w:numPr>
      <w:ind w:left="1680" w:hanging="420"/>
      <w:outlineLvl w:val="3"/>
    </w:pPr>
  </w:style>
  <w:style w:type="paragraph" w:customStyle="1" w:styleId="108">
    <w:name w:val="3级标题"/>
    <w:basedOn w:val="106"/>
    <w:link w:val="492"/>
    <w:qFormat/>
    <w:uiPriority w:val="0"/>
    <w:pPr>
      <w:numPr>
        <w:ilvl w:val="2"/>
        <w:numId w:val="4"/>
      </w:numPr>
      <w:ind w:firstLine="0" w:firstLineChars="0"/>
      <w:outlineLvl w:val="2"/>
    </w:pPr>
    <w:rPr>
      <w:rFonts w:ascii="Arial" w:hAnsi="Arial" w:cs="宋体"/>
      <w:b/>
      <w:sz w:val="32"/>
      <w:szCs w:val="32"/>
    </w:rPr>
  </w:style>
  <w:style w:type="paragraph" w:customStyle="1" w:styleId="109">
    <w:name w:val="明显引用1"/>
    <w:basedOn w:val="1"/>
    <w:next w:val="1"/>
    <w:link w:val="495"/>
    <w:qFormat/>
    <w:uiPriority w:val="0"/>
    <w:pPr>
      <w:pBdr>
        <w:bottom w:val="single" w:color="4F81BD" w:sz="4" w:space="4"/>
      </w:pBdr>
      <w:spacing w:before="200" w:after="280"/>
      <w:ind w:left="936" w:right="936"/>
    </w:pPr>
    <w:rPr>
      <w:b/>
      <w:i/>
      <w:color w:val="4F81BD"/>
    </w:rPr>
  </w:style>
  <w:style w:type="paragraph" w:customStyle="1" w:styleId="110">
    <w:name w:val="标准正文"/>
    <w:basedOn w:val="1"/>
    <w:link w:val="503"/>
    <w:qFormat/>
    <w:uiPriority w:val="0"/>
    <w:pPr>
      <w:spacing w:before="156" w:after="156" w:line="360" w:lineRule="auto"/>
      <w:ind w:firstLine="480" w:firstLineChars="200"/>
    </w:pPr>
    <w:rPr>
      <w:sz w:val="24"/>
    </w:rPr>
  </w:style>
  <w:style w:type="paragraph" w:customStyle="1" w:styleId="111">
    <w:name w:val="符号样式"/>
    <w:basedOn w:val="112"/>
    <w:link w:val="508"/>
    <w:qFormat/>
    <w:uiPriority w:val="0"/>
    <w:pPr>
      <w:numPr>
        <w:numId w:val="0"/>
      </w:numPr>
      <w:ind w:left="840" w:firstLine="288" w:firstLineChars="200"/>
      <w:jc w:val="left"/>
    </w:pPr>
  </w:style>
  <w:style w:type="paragraph" w:customStyle="1" w:styleId="112">
    <w:name w:val="编号，小四"/>
    <w:basedOn w:val="1"/>
    <w:qFormat/>
    <w:uiPriority w:val="0"/>
    <w:pPr>
      <w:numPr>
        <w:ilvl w:val="0"/>
        <w:numId w:val="5"/>
      </w:numPr>
      <w:spacing w:line="360" w:lineRule="auto"/>
      <w:ind w:left="0" w:firstLine="200" w:firstLineChars="200"/>
    </w:pPr>
    <w:rPr>
      <w:rFonts w:ascii="Arial" w:hAnsi="Arial" w:cs="宋体"/>
      <w:sz w:val="24"/>
    </w:rPr>
  </w:style>
  <w:style w:type="paragraph" w:customStyle="1" w:styleId="113">
    <w:name w:val="1级标题"/>
    <w:basedOn w:val="105"/>
    <w:link w:val="511"/>
    <w:qFormat/>
    <w:uiPriority w:val="0"/>
  </w:style>
  <w:style w:type="paragraph" w:customStyle="1" w:styleId="114">
    <w:name w:val="彩色列表 - 强调文字颜色 11"/>
    <w:basedOn w:val="1"/>
    <w:link w:val="520"/>
    <w:qFormat/>
    <w:uiPriority w:val="0"/>
    <w:pPr>
      <w:ind w:firstLine="420" w:firstLineChars="200"/>
    </w:pPr>
    <w:rPr>
      <w:szCs w:val="22"/>
    </w:rPr>
  </w:style>
  <w:style w:type="paragraph" w:customStyle="1" w:styleId="115">
    <w:name w:val="彩色网格 - 强调文字颜色 11"/>
    <w:basedOn w:val="1"/>
    <w:next w:val="1"/>
    <w:link w:val="532"/>
    <w:qFormat/>
    <w:uiPriority w:val="0"/>
    <w:rPr>
      <w:i/>
      <w:iCs/>
      <w:color w:val="000000"/>
      <w:szCs w:val="22"/>
    </w:rPr>
  </w:style>
  <w:style w:type="paragraph" w:customStyle="1" w:styleId="116">
    <w:name w:val="列表段落1"/>
    <w:basedOn w:val="1"/>
    <w:link w:val="548"/>
    <w:qFormat/>
    <w:uiPriority w:val="0"/>
    <w:pPr>
      <w:widowControl/>
      <w:spacing w:after="200" w:line="276" w:lineRule="auto"/>
      <w:ind w:left="720"/>
      <w:contextualSpacing/>
      <w:jc w:val="left"/>
    </w:pPr>
    <w:rPr>
      <w:sz w:val="22"/>
      <w:szCs w:val="22"/>
    </w:rPr>
  </w:style>
  <w:style w:type="paragraph" w:customStyle="1" w:styleId="117">
    <w:name w:val="Blockquote"/>
    <w:basedOn w:val="1"/>
    <w:link w:val="550"/>
    <w:qFormat/>
    <w:uiPriority w:val="0"/>
    <w:pPr>
      <w:autoSpaceDE w:val="0"/>
      <w:autoSpaceDN w:val="0"/>
      <w:adjustRightInd w:val="0"/>
      <w:spacing w:before="100" w:after="100"/>
      <w:ind w:left="360" w:right="360"/>
      <w:jc w:val="left"/>
    </w:pPr>
    <w:rPr>
      <w:sz w:val="24"/>
    </w:rPr>
  </w:style>
  <w:style w:type="paragraph" w:customStyle="1" w:styleId="118">
    <w:name w:val="_Style 238"/>
    <w:basedOn w:val="1"/>
    <w:next w:val="1"/>
    <w:link w:val="559"/>
    <w:qFormat/>
    <w:uiPriority w:val="0"/>
    <w:pPr>
      <w:widowControl/>
      <w:pBdr>
        <w:top w:val="single" w:color="auto" w:sz="6" w:space="1"/>
      </w:pBdr>
      <w:jc w:val="center"/>
    </w:pPr>
    <w:rPr>
      <w:rFonts w:ascii="Arial" w:hAnsi="Arial"/>
      <w:vanish/>
      <w:sz w:val="16"/>
      <w:szCs w:val="16"/>
    </w:rPr>
  </w:style>
  <w:style w:type="paragraph" w:customStyle="1" w:styleId="119">
    <w:name w:val="_Style 243"/>
    <w:basedOn w:val="1"/>
    <w:next w:val="1"/>
    <w:link w:val="563"/>
    <w:qFormat/>
    <w:uiPriority w:val="0"/>
    <w:pPr>
      <w:widowControl/>
      <w:pBdr>
        <w:bottom w:val="single" w:color="auto" w:sz="6" w:space="1"/>
      </w:pBdr>
      <w:jc w:val="center"/>
    </w:pPr>
    <w:rPr>
      <w:rFonts w:ascii="Arial" w:hAnsi="Arial"/>
      <w:vanish/>
      <w:sz w:val="16"/>
      <w:szCs w:val="16"/>
    </w:rPr>
  </w:style>
  <w:style w:type="paragraph" w:customStyle="1" w:styleId="120">
    <w:name w:val="浅色底纹 - 强调文字颜色 21"/>
    <w:basedOn w:val="1"/>
    <w:next w:val="1"/>
    <w:link w:val="567"/>
    <w:qFormat/>
    <w:uiPriority w:val="0"/>
    <w:pPr>
      <w:pBdr>
        <w:bottom w:val="single" w:color="4F81BD" w:sz="4" w:space="4"/>
      </w:pBdr>
      <w:spacing w:before="200" w:after="280"/>
      <w:ind w:left="936" w:right="936"/>
    </w:pPr>
    <w:rPr>
      <w:b/>
      <w:bCs/>
      <w:i/>
      <w:iCs/>
      <w:color w:val="4F81BD"/>
      <w:szCs w:val="22"/>
    </w:rPr>
  </w:style>
  <w:style w:type="paragraph" w:customStyle="1" w:styleId="121">
    <w:name w:val="*正文"/>
    <w:basedOn w:val="1"/>
    <w:link w:val="569"/>
    <w:qFormat/>
    <w:uiPriority w:val="0"/>
    <w:pPr>
      <w:spacing w:line="360" w:lineRule="auto"/>
    </w:pPr>
    <w:rPr>
      <w:rFonts w:ascii="宋体" w:hAnsi="宋体"/>
      <w:sz w:val="24"/>
    </w:rPr>
  </w:style>
  <w:style w:type="paragraph" w:customStyle="1" w:styleId="122">
    <w:name w:val="6.1正文"/>
    <w:basedOn w:val="1"/>
    <w:link w:val="572"/>
    <w:qFormat/>
    <w:uiPriority w:val="0"/>
    <w:pPr>
      <w:spacing w:before="120" w:after="120" w:line="360" w:lineRule="auto"/>
      <w:ind w:firstLine="420" w:firstLineChars="200"/>
    </w:pPr>
  </w:style>
  <w:style w:type="paragraph" w:customStyle="1" w:styleId="123">
    <w:name w:val="引用1"/>
    <w:basedOn w:val="1"/>
    <w:next w:val="1"/>
    <w:link w:val="575"/>
    <w:qFormat/>
    <w:uiPriority w:val="0"/>
    <w:rPr>
      <w:i/>
      <w:color w:val="000000"/>
    </w:rPr>
  </w:style>
  <w:style w:type="paragraph" w:customStyle="1" w:styleId="124">
    <w:name w:val="标题5"/>
    <w:basedOn w:val="6"/>
    <w:link w:val="514"/>
    <w:qFormat/>
    <w:uiPriority w:val="0"/>
    <w:rPr>
      <w:rFonts w:ascii="Arial" w:hAnsi="Arial"/>
      <w:bCs/>
      <w:sz w:val="24"/>
      <w:szCs w:val="32"/>
    </w:rPr>
  </w:style>
  <w:style w:type="paragraph" w:customStyle="1" w:styleId="125">
    <w:name w:val="正文文本 (2)"/>
    <w:basedOn w:val="1"/>
    <w:link w:val="591"/>
    <w:qFormat/>
    <w:uiPriority w:val="0"/>
    <w:pPr>
      <w:shd w:val="clear" w:color="auto" w:fill="FFFFFF"/>
      <w:spacing w:line="240" w:lineRule="atLeast"/>
      <w:jc w:val="left"/>
    </w:pPr>
    <w:rPr>
      <w:rFonts w:ascii="Franklin Gothic Heavy" w:eastAsia="Franklin Gothic Heavy" w:cs="Franklin Gothic Heavy"/>
      <w:sz w:val="18"/>
      <w:szCs w:val="18"/>
      <w:shd w:val="clear" w:color="auto" w:fill="FFFFFF"/>
    </w:rPr>
  </w:style>
  <w:style w:type="paragraph" w:customStyle="1" w:styleId="126">
    <w:name w:val="尖角符号样式"/>
    <w:basedOn w:val="111"/>
    <w:link w:val="592"/>
    <w:qFormat/>
    <w:uiPriority w:val="0"/>
    <w:pPr>
      <w:ind w:firstLine="480"/>
    </w:pPr>
  </w:style>
  <w:style w:type="paragraph" w:customStyle="1" w:styleId="127">
    <w:name w:val="标题4"/>
    <w:basedOn w:val="5"/>
    <w:next w:val="92"/>
    <w:link w:val="480"/>
    <w:qFormat/>
    <w:uiPriority w:val="0"/>
    <w:rPr>
      <w:bCs/>
      <w:sz w:val="24"/>
      <w:szCs w:val="32"/>
    </w:rPr>
  </w:style>
  <w:style w:type="paragraph" w:customStyle="1" w:styleId="128">
    <w:name w:val="列出段落2"/>
    <w:basedOn w:val="1"/>
    <w:link w:val="614"/>
    <w:qFormat/>
    <w:uiPriority w:val="0"/>
    <w:pPr>
      <w:spacing w:line="360" w:lineRule="auto"/>
      <w:ind w:firstLine="420" w:firstLineChars="200"/>
    </w:pPr>
    <w:rPr>
      <w:rFonts w:ascii="Arial" w:hAnsi="Arial" w:cs="宋体"/>
      <w:sz w:val="24"/>
    </w:rPr>
  </w:style>
  <w:style w:type="paragraph" w:customStyle="1" w:styleId="129">
    <w:name w:val="2级标题"/>
    <w:basedOn w:val="106"/>
    <w:link w:val="631"/>
    <w:qFormat/>
    <w:uiPriority w:val="0"/>
    <w:pPr>
      <w:numPr>
        <w:ilvl w:val="1"/>
        <w:numId w:val="4"/>
      </w:numPr>
      <w:ind w:firstLine="0" w:firstLineChars="0"/>
      <w:outlineLvl w:val="1"/>
    </w:pPr>
    <w:rPr>
      <w:rFonts w:ascii="Arial" w:hAnsi="Arial" w:cs="宋体"/>
      <w:b/>
      <w:sz w:val="32"/>
      <w:szCs w:val="32"/>
    </w:rPr>
  </w:style>
  <w:style w:type="paragraph" w:customStyle="1" w:styleId="130">
    <w:name w:val="标题6"/>
    <w:basedOn w:val="9"/>
    <w:next w:val="1"/>
    <w:link w:val="636"/>
    <w:qFormat/>
    <w:uiPriority w:val="0"/>
    <w:pPr>
      <w:spacing w:line="320" w:lineRule="auto"/>
    </w:pPr>
    <w:rPr>
      <w:rFonts w:cs="宋体"/>
      <w:bCs/>
    </w:rPr>
  </w:style>
  <w:style w:type="paragraph" w:customStyle="1" w:styleId="131">
    <w:name w:val="样式1"/>
    <w:basedOn w:val="1"/>
    <w:link w:val="639"/>
    <w:qFormat/>
    <w:uiPriority w:val="0"/>
    <w:pPr>
      <w:tabs>
        <w:tab w:val="left" w:pos="709"/>
      </w:tabs>
      <w:adjustRightInd w:val="0"/>
      <w:ind w:left="709" w:hanging="709"/>
      <w:textAlignment w:val="baseline"/>
    </w:pPr>
    <w:rPr>
      <w:rFonts w:ascii="宋体" w:hAnsi="宋体"/>
    </w:rPr>
  </w:style>
  <w:style w:type="paragraph" w:customStyle="1" w:styleId="132">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33">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134">
    <w:name w:val="表格文字"/>
    <w:basedOn w:val="1"/>
    <w:qFormat/>
    <w:uiPriority w:val="0"/>
    <w:pPr>
      <w:adjustRightInd w:val="0"/>
      <w:spacing w:line="420" w:lineRule="atLeast"/>
      <w:jc w:val="left"/>
      <w:textAlignment w:val="baseline"/>
    </w:pPr>
    <w:rPr>
      <w:kern w:val="0"/>
    </w:rPr>
  </w:style>
  <w:style w:type="paragraph" w:customStyle="1" w:styleId="135">
    <w:name w:val="eng"/>
    <w:basedOn w:val="1"/>
    <w:qFormat/>
    <w:uiPriority w:val="0"/>
    <w:pPr>
      <w:widowControl/>
      <w:spacing w:before="100" w:beforeAutospacing="1" w:after="100" w:afterAutospacing="1"/>
      <w:jc w:val="left"/>
    </w:pPr>
    <w:rPr>
      <w:rFonts w:ascii="Verdana" w:hAnsi="Verdana"/>
      <w:color w:val="FFFFFF"/>
      <w:kern w:val="0"/>
      <w:sz w:val="18"/>
    </w:rPr>
  </w:style>
  <w:style w:type="paragraph" w:customStyle="1" w:styleId="136">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137">
    <w:name w:val="Char12"/>
    <w:basedOn w:val="1"/>
    <w:qFormat/>
    <w:uiPriority w:val="0"/>
    <w:rPr>
      <w:rFonts w:ascii="Tahoma" w:hAnsi="Tahoma"/>
      <w:sz w:val="24"/>
    </w:rPr>
  </w:style>
  <w:style w:type="paragraph" w:customStyle="1" w:styleId="138">
    <w:name w:val="SUR-需求定义-第4级"/>
    <w:basedOn w:val="7"/>
    <w:next w:val="1"/>
    <w:qFormat/>
    <w:uiPriority w:val="0"/>
    <w:pPr>
      <w:numPr>
        <w:ilvl w:val="3"/>
        <w:numId w:val="6"/>
      </w:numPr>
      <w:tabs>
        <w:tab w:val="left" w:pos="1080"/>
        <w:tab w:val="left" w:pos="2502"/>
        <w:tab w:val="clear" w:pos="2934"/>
      </w:tabs>
      <w:spacing w:before="0" w:after="0"/>
      <w:ind w:left="-283" w:firstLine="283"/>
      <w:jc w:val="left"/>
    </w:pPr>
    <w:rPr>
      <w:rFonts w:cs="Arial"/>
      <w:b w:val="0"/>
      <w:color w:val="0000FF"/>
      <w:sz w:val="24"/>
    </w:rPr>
  </w:style>
  <w:style w:type="paragraph" w:customStyle="1" w:styleId="139">
    <w:name w:val="Char Char Char Char Char Char1 Char Char"/>
    <w:basedOn w:val="1"/>
    <w:qFormat/>
    <w:uiPriority w:val="0"/>
    <w:pPr>
      <w:widowControl/>
      <w:spacing w:line="240" w:lineRule="exact"/>
      <w:ind w:left="264" w:firstLine="280"/>
      <w:jc w:val="left"/>
    </w:pPr>
    <w:rPr>
      <w:rFonts w:cs="Droid Sans"/>
      <w:b/>
      <w:kern w:val="0"/>
      <w:sz w:val="24"/>
      <w:lang w:eastAsia="en-US"/>
    </w:rPr>
  </w:style>
  <w:style w:type="paragraph" w:customStyle="1" w:styleId="140">
    <w:name w:val="p22"/>
    <w:basedOn w:val="1"/>
    <w:qFormat/>
    <w:uiPriority w:val="0"/>
    <w:pPr>
      <w:widowControl/>
      <w:spacing w:before="240" w:after="60"/>
      <w:jc w:val="center"/>
    </w:pPr>
    <w:rPr>
      <w:rFonts w:ascii="Cambria" w:hAnsi="Cambria" w:cs="宋体"/>
      <w:b/>
      <w:bCs/>
      <w:kern w:val="0"/>
      <w:sz w:val="32"/>
      <w:szCs w:val="32"/>
    </w:rPr>
  </w:style>
  <w:style w:type="paragraph" w:customStyle="1" w:styleId="141">
    <w:name w:val="about_main1"/>
    <w:basedOn w:val="1"/>
    <w:qFormat/>
    <w:uiPriority w:val="0"/>
    <w:pPr>
      <w:widowControl/>
      <w:spacing w:before="24" w:after="100" w:afterAutospacing="1"/>
      <w:jc w:val="left"/>
    </w:pPr>
    <w:rPr>
      <w:rFonts w:ascii="宋体" w:hAnsi="宋体" w:cs="宋体"/>
      <w:kern w:val="0"/>
      <w:sz w:val="24"/>
    </w:rPr>
  </w:style>
  <w:style w:type="paragraph" w:customStyle="1" w:styleId="142">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43">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144">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145">
    <w:name w:val="条1"/>
    <w:basedOn w:val="1"/>
    <w:next w:val="146"/>
    <w:qFormat/>
    <w:uiPriority w:val="0"/>
    <w:pPr>
      <w:numPr>
        <w:ilvl w:val="1"/>
        <w:numId w:val="7"/>
      </w:numPr>
      <w:tabs>
        <w:tab w:val="left" w:pos="810"/>
      </w:tabs>
      <w:outlineLvl w:val="1"/>
    </w:pPr>
    <w:rPr>
      <w:rFonts w:ascii="黑体" w:eastAsia="黑体"/>
      <w:kern w:val="21"/>
    </w:rPr>
  </w:style>
  <w:style w:type="paragraph" w:customStyle="1" w:styleId="146">
    <w:name w:val="段"/>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paragraph" w:customStyle="1" w:styleId="147">
    <w:name w:val="Table Heading"/>
    <w:basedOn w:val="148"/>
    <w:qFormat/>
    <w:uiPriority w:val="0"/>
    <w:pPr>
      <w:jc w:val="center"/>
    </w:pPr>
    <w:rPr>
      <w:b/>
      <w:bCs/>
      <w:i/>
      <w:iCs/>
    </w:rPr>
  </w:style>
  <w:style w:type="paragraph" w:customStyle="1" w:styleId="148">
    <w:name w:val="Table Contents"/>
    <w:basedOn w:val="18"/>
    <w:qFormat/>
    <w:uiPriority w:val="0"/>
    <w:pPr>
      <w:suppressLineNumbers/>
      <w:suppressAutoHyphens/>
      <w:jc w:val="left"/>
    </w:pPr>
    <w:rPr>
      <w:rFonts w:ascii="Times New Roman" w:hAnsi="Times New Roman" w:eastAsia="PMingLiU"/>
      <w:kern w:val="0"/>
      <w:sz w:val="24"/>
    </w:rPr>
  </w:style>
  <w:style w:type="paragraph" w:customStyle="1" w:styleId="14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150">
    <w:name w:val="样式"/>
    <w:qFormat/>
    <w:uiPriority w:val="0"/>
    <w:pPr>
      <w:widowControl w:val="0"/>
      <w:autoSpaceDE w:val="0"/>
      <w:autoSpaceDN w:val="0"/>
      <w:adjustRightInd w:val="0"/>
      <w:spacing w:after="160" w:line="278" w:lineRule="auto"/>
    </w:pPr>
    <w:rPr>
      <w:rFonts w:ascii="宋体" w:hAnsi="宋体" w:eastAsia="宋体" w:cs="宋体"/>
      <w:sz w:val="24"/>
      <w:szCs w:val="24"/>
      <w:lang w:val="en-US" w:eastAsia="zh-CN" w:bidi="ar-SA"/>
    </w:rPr>
  </w:style>
  <w:style w:type="paragraph" w:customStyle="1" w:styleId="151">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152">
    <w:name w:val="标题9"/>
    <w:basedOn w:val="12"/>
    <w:next w:val="1"/>
    <w:qFormat/>
    <w:uiPriority w:val="0"/>
    <w:rPr>
      <w:rFonts w:ascii="Cambria" w:hAnsi="Cambria" w:eastAsia="宋体"/>
      <w:lang w:eastAsia="en-US"/>
    </w:rPr>
  </w:style>
  <w:style w:type="paragraph" w:customStyle="1" w:styleId="153">
    <w:name w:val="Char Char Char Char Char Char Char"/>
    <w:basedOn w:val="1"/>
    <w:qFormat/>
    <w:uiPriority w:val="0"/>
  </w:style>
  <w:style w:type="paragraph" w:customStyle="1" w:styleId="154">
    <w:name w:val="D标2"/>
    <w:basedOn w:val="5"/>
    <w:qFormat/>
    <w:uiPriority w:val="0"/>
    <w:pPr>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kern w:val="0"/>
      <w:sz w:val="28"/>
      <w:szCs w:val="20"/>
    </w:rPr>
  </w:style>
  <w:style w:type="paragraph" w:customStyle="1" w:styleId="15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156">
    <w:name w:val="Char Char Char Char1"/>
    <w:basedOn w:val="1"/>
    <w:qFormat/>
    <w:uiPriority w:val="0"/>
    <w:rPr>
      <w:rFonts w:ascii="Tahoma" w:hAnsi="Tahoma"/>
      <w:sz w:val="24"/>
    </w:rPr>
  </w:style>
  <w:style w:type="paragraph" w:customStyle="1" w:styleId="157">
    <w:name w:val="样式 首行缩进:  2 字符"/>
    <w:basedOn w:val="1"/>
    <w:qFormat/>
    <w:uiPriority w:val="0"/>
    <w:pPr>
      <w:spacing w:line="400" w:lineRule="exact"/>
      <w:ind w:firstLine="200" w:firstLineChars="200"/>
    </w:pPr>
    <w:rPr>
      <w:rFonts w:cs="宋体"/>
      <w:sz w:val="24"/>
    </w:rPr>
  </w:style>
  <w:style w:type="paragraph" w:customStyle="1" w:styleId="158">
    <w:name w:val="Char Char Char Char Char Char Char1"/>
    <w:basedOn w:val="1"/>
    <w:qFormat/>
    <w:uiPriority w:val="0"/>
    <w:pPr>
      <w:spacing w:line="380" w:lineRule="exact"/>
      <w:ind w:firstLine="200" w:firstLineChars="200"/>
    </w:pPr>
  </w:style>
  <w:style w:type="paragraph" w:customStyle="1" w:styleId="159">
    <w:name w:val="CM51"/>
    <w:basedOn w:val="19"/>
    <w:next w:val="19"/>
    <w:qFormat/>
    <w:uiPriority w:val="0"/>
    <w:pPr>
      <w:spacing w:after="103"/>
    </w:pPr>
    <w:rPr>
      <w:rFonts w:ascii="黑体" w:hAnsi="Calibri" w:eastAsia="黑体" w:cs="Times New Roman"/>
      <w:color w:val="auto"/>
      <w:szCs w:val="22"/>
    </w:rPr>
  </w:style>
  <w:style w:type="paragraph" w:customStyle="1" w:styleId="160">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61">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16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63">
    <w:name w:val="Char2"/>
    <w:basedOn w:val="1"/>
    <w:qFormat/>
    <w:uiPriority w:val="0"/>
    <w:pPr>
      <w:widowControl/>
      <w:spacing w:line="240" w:lineRule="exact"/>
      <w:jc w:val="left"/>
    </w:pPr>
    <w:rPr>
      <w:rFonts w:eastAsia="Verdana" w:cs="Droid Sans"/>
      <w:kern w:val="0"/>
      <w:sz w:val="20"/>
      <w:lang w:eastAsia="en-US"/>
    </w:rPr>
  </w:style>
  <w:style w:type="paragraph" w:customStyle="1" w:styleId="164">
    <w:name w:val="规范"/>
    <w:basedOn w:val="1"/>
    <w:next w:val="1"/>
    <w:qFormat/>
    <w:uiPriority w:val="0"/>
    <w:pPr>
      <w:numPr>
        <w:ilvl w:val="0"/>
        <w:numId w:val="8"/>
      </w:numPr>
      <w:spacing w:line="288" w:lineRule="auto"/>
      <w:ind w:firstLine="0"/>
      <w:jc w:val="left"/>
    </w:pPr>
    <w:rPr>
      <w:sz w:val="24"/>
    </w:rPr>
  </w:style>
  <w:style w:type="paragraph" w:customStyle="1" w:styleId="165">
    <w:name w:val="xl246"/>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章标题"/>
    <w:next w:val="146"/>
    <w:qFormat/>
    <w:uiPriority w:val="0"/>
    <w:pPr>
      <w:spacing w:before="50" w:after="50" w:line="278" w:lineRule="auto"/>
      <w:jc w:val="both"/>
      <w:outlineLvl w:val="1"/>
    </w:pPr>
    <w:rPr>
      <w:rFonts w:ascii="黑体" w:hAnsi="Times New Roman" w:eastAsia="黑体" w:cs="Times New Roman"/>
      <w:sz w:val="21"/>
      <w:lang w:val="en-US" w:eastAsia="zh-CN" w:bidi="ar-SA"/>
    </w:rPr>
  </w:style>
  <w:style w:type="paragraph" w:customStyle="1" w:styleId="167">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168">
    <w:name w:val="TOC 标题1"/>
    <w:basedOn w:val="4"/>
    <w:next w:val="1"/>
    <w:qFormat/>
    <w:uiPriority w:val="0"/>
    <w:pPr>
      <w:spacing w:after="260" w:line="360" w:lineRule="auto"/>
      <w:outlineLvl w:val="9"/>
    </w:pPr>
    <w:rPr>
      <w:sz w:val="32"/>
    </w:rPr>
  </w:style>
  <w:style w:type="paragraph" w:customStyle="1" w:styleId="169">
    <w:name w:val="标题2级"/>
    <w:basedOn w:val="106"/>
    <w:qFormat/>
    <w:uiPriority w:val="0"/>
    <w:pPr>
      <w:ind w:left="360" w:firstLine="0" w:firstLineChars="0"/>
      <w:outlineLvl w:val="0"/>
    </w:pPr>
    <w:rPr>
      <w:b/>
      <w:sz w:val="30"/>
      <w:szCs w:val="30"/>
    </w:rPr>
  </w:style>
  <w:style w:type="paragraph" w:customStyle="1" w:styleId="170">
    <w:name w:val="元正正文标题2"/>
    <w:basedOn w:val="7"/>
    <w:qFormat/>
    <w:uiPriority w:val="0"/>
    <w:pPr>
      <w:adjustRightInd w:val="0"/>
      <w:snapToGrid w:val="0"/>
      <w:spacing w:before="0" w:after="0" w:line="360" w:lineRule="auto"/>
      <w:jc w:val="center"/>
      <w:outlineLvl w:val="9"/>
    </w:pPr>
    <w:rPr>
      <w:rFonts w:ascii="Calibri" w:hAnsi="Calibri" w:eastAsia="宋体" w:cs="Droid Sans"/>
      <w:sz w:val="32"/>
      <w:szCs w:val="20"/>
    </w:rPr>
  </w:style>
  <w:style w:type="paragraph" w:customStyle="1" w:styleId="171">
    <w:name w:val="无间距"/>
    <w:basedOn w:val="1"/>
    <w:qFormat/>
    <w:uiPriority w:val="0"/>
    <w:rPr>
      <w:szCs w:val="22"/>
    </w:rPr>
  </w:style>
  <w:style w:type="paragraph" w:customStyle="1" w:styleId="172">
    <w:name w:val="Char1"/>
    <w:basedOn w:val="1"/>
    <w:qFormat/>
    <w:uiPriority w:val="0"/>
    <w:rPr>
      <w:rFonts w:ascii="MS Mincho" w:hAnsi="MS Mincho" w:cs="Droid Sans"/>
      <w:sz w:val="24"/>
    </w:rPr>
  </w:style>
  <w:style w:type="paragraph" w:customStyle="1" w:styleId="173">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74">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75">
    <w:name w:val="GP正文(首行缩进)"/>
    <w:basedOn w:val="1"/>
    <w:qFormat/>
    <w:uiPriority w:val="0"/>
    <w:pPr>
      <w:spacing w:line="360" w:lineRule="auto"/>
      <w:ind w:firstLine="480" w:firstLineChars="200"/>
      <w:jc w:val="left"/>
    </w:pPr>
    <w:rPr>
      <w:rFonts w:hAnsi="宋体"/>
      <w:sz w:val="24"/>
    </w:rPr>
  </w:style>
  <w:style w:type="paragraph" w:customStyle="1" w:styleId="176">
    <w:name w:val="普通(Web)2"/>
    <w:basedOn w:val="1"/>
    <w:qFormat/>
    <w:uiPriority w:val="0"/>
    <w:pPr>
      <w:widowControl/>
      <w:spacing w:before="88" w:after="100" w:afterAutospacing="1" w:line="316" w:lineRule="atLeast"/>
      <w:jc w:val="left"/>
    </w:pPr>
    <w:rPr>
      <w:rFonts w:ascii="宋体" w:hAnsi="宋体" w:cs="宋体"/>
      <w:kern w:val="0"/>
      <w:sz w:val="23"/>
      <w:szCs w:val="23"/>
    </w:rPr>
  </w:style>
  <w:style w:type="paragraph" w:customStyle="1" w:styleId="177">
    <w:name w:val="Default Paragraph Char Char Char Char"/>
    <w:basedOn w:val="1"/>
    <w:next w:val="1"/>
    <w:qFormat/>
    <w:uiPriority w:val="0"/>
    <w:pPr>
      <w:widowControl/>
      <w:spacing w:line="360" w:lineRule="auto"/>
      <w:jc w:val="left"/>
    </w:pPr>
    <w:rPr>
      <w:kern w:val="0"/>
      <w:lang w:eastAsia="en-US"/>
    </w:rPr>
  </w:style>
  <w:style w:type="paragraph" w:customStyle="1" w:styleId="178">
    <w:name w:val="样式 标题 7 +"/>
    <w:basedOn w:val="10"/>
    <w:qFormat/>
    <w:uiPriority w:val="0"/>
    <w:pPr>
      <w:spacing w:before="120" w:line="360" w:lineRule="auto"/>
      <w:jc w:val="center"/>
    </w:pPr>
    <w:rPr>
      <w:rFonts w:cs="宋体"/>
      <w:lang w:eastAsia="en-US"/>
    </w:rPr>
  </w:style>
  <w:style w:type="paragraph" w:customStyle="1" w:styleId="179">
    <w:name w:val="文章正文"/>
    <w:basedOn w:val="1"/>
    <w:qFormat/>
    <w:uiPriority w:val="0"/>
    <w:pPr>
      <w:numPr>
        <w:ilvl w:val="1"/>
        <w:numId w:val="9"/>
      </w:numPr>
      <w:tabs>
        <w:tab w:val="left" w:pos="425"/>
      </w:tabs>
      <w:spacing w:beforeLines="50" w:afterLines="50" w:line="320" w:lineRule="exact"/>
      <w:ind w:left="0" w:firstLine="200" w:firstLineChars="200"/>
    </w:pPr>
    <w:rPr>
      <w:rFonts w:ascii="仿宋_GB2312" w:eastAsia="仿宋_GB2312"/>
      <w:sz w:val="28"/>
    </w:rPr>
  </w:style>
  <w:style w:type="paragraph" w:customStyle="1" w:styleId="180">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81">
    <w:name w:val="Char Char Char Char Char Char Char Char Char Char Char Char Char Char Char Char1"/>
    <w:basedOn w:val="1"/>
    <w:qFormat/>
    <w:uiPriority w:val="0"/>
    <w:pPr>
      <w:snapToGrid w:val="0"/>
      <w:spacing w:line="360" w:lineRule="auto"/>
      <w:ind w:firstLine="200" w:firstLineChars="200"/>
    </w:pPr>
    <w:rPr>
      <w:rFonts w:ascii="Tahoma" w:hAnsi="Tahoma" w:cs="宋体"/>
      <w:sz w:val="28"/>
      <w:szCs w:val="28"/>
    </w:rPr>
  </w:style>
  <w:style w:type="paragraph" w:customStyle="1" w:styleId="182">
    <w:name w:val="cjk"/>
    <w:basedOn w:val="1"/>
    <w:qFormat/>
    <w:uiPriority w:val="0"/>
    <w:pPr>
      <w:widowControl/>
      <w:spacing w:before="100" w:beforeAutospacing="1" w:after="100" w:afterAutospacing="1"/>
      <w:jc w:val="left"/>
    </w:pPr>
    <w:rPr>
      <w:rFonts w:ascii="宋体" w:hAnsi="宋体" w:cs="宋体"/>
      <w:kern w:val="0"/>
      <w:sz w:val="18"/>
      <w:szCs w:val="18"/>
      <w:u w:color="000000"/>
    </w:rPr>
  </w:style>
  <w:style w:type="paragraph" w:customStyle="1" w:styleId="183">
    <w:name w:val="D标3"/>
    <w:basedOn w:val="6"/>
    <w:qFormat/>
    <w:uiPriority w:val="0"/>
    <w:pPr>
      <w:tabs>
        <w:tab w:val="left" w:pos="1140"/>
      </w:tabs>
      <w:autoSpaceDE w:val="0"/>
      <w:autoSpaceDN w:val="0"/>
      <w:adjustRightInd w:val="0"/>
      <w:snapToGrid w:val="0"/>
      <w:spacing w:before="120" w:after="0" w:line="480" w:lineRule="atLeast"/>
    </w:pPr>
    <w:rPr>
      <w:rFonts w:cs="Droid Sans"/>
      <w:b w:val="0"/>
      <w:kern w:val="0"/>
      <w:sz w:val="24"/>
      <w:szCs w:val="20"/>
    </w:rPr>
  </w:style>
  <w:style w:type="paragraph" w:customStyle="1" w:styleId="184">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185">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186">
    <w:name w:val="文字"/>
    <w:basedOn w:val="1"/>
    <w:qFormat/>
    <w:uiPriority w:val="0"/>
    <w:pPr>
      <w:tabs>
        <w:tab w:val="left" w:pos="8520"/>
      </w:tabs>
      <w:spacing w:line="312" w:lineRule="auto"/>
      <w:ind w:right="-210" w:firstLine="556"/>
    </w:pPr>
    <w:rPr>
      <w:rFonts w:eastAsia="Calibri" w:cs="Droid Sans"/>
      <w:sz w:val="28"/>
    </w:rPr>
  </w:style>
  <w:style w:type="paragraph" w:customStyle="1" w:styleId="187">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88">
    <w:name w:val="p1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9">
    <w:name w:val="一级标题"/>
    <w:basedOn w:val="1"/>
    <w:next w:val="190"/>
    <w:qFormat/>
    <w:uiPriority w:val="0"/>
    <w:pPr>
      <w:numPr>
        <w:ilvl w:val="2"/>
        <w:numId w:val="9"/>
      </w:numPr>
      <w:tabs>
        <w:tab w:val="left" w:pos="425"/>
      </w:tabs>
      <w:spacing w:afterLines="100"/>
      <w:ind w:left="850" w:hanging="425"/>
      <w:outlineLvl w:val="0"/>
    </w:pPr>
    <w:rPr>
      <w:rFonts w:ascii="黑体" w:eastAsia="黑体"/>
      <w:sz w:val="30"/>
      <w:szCs w:val="28"/>
    </w:rPr>
  </w:style>
  <w:style w:type="paragraph" w:customStyle="1" w:styleId="190">
    <w:name w:val="二级标题"/>
    <w:basedOn w:val="1"/>
    <w:next w:val="179"/>
    <w:qFormat/>
    <w:uiPriority w:val="0"/>
    <w:pPr>
      <w:tabs>
        <w:tab w:val="left" w:pos="992"/>
      </w:tabs>
      <w:ind w:left="992" w:hanging="567"/>
      <w:outlineLvl w:val="1"/>
    </w:pPr>
    <w:rPr>
      <w:rFonts w:ascii="黑体" w:eastAsia="黑体"/>
      <w:sz w:val="28"/>
    </w:rPr>
  </w:style>
  <w:style w:type="paragraph" w:customStyle="1" w:styleId="191">
    <w:name w:val="正文标准样式ty"/>
    <w:basedOn w:val="1"/>
    <w:qFormat/>
    <w:uiPriority w:val="0"/>
    <w:pPr>
      <w:spacing w:line="360" w:lineRule="auto"/>
      <w:ind w:firstLine="480" w:firstLineChars="200"/>
    </w:pPr>
    <w:rPr>
      <w:rFonts w:cs="宋体"/>
      <w:sz w:val="24"/>
    </w:rPr>
  </w:style>
  <w:style w:type="paragraph" w:customStyle="1" w:styleId="192">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193">
    <w:name w:val="TOC 标题11"/>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94">
    <w:name w:val="样式 标题 2 + Times New Roman 四号 非加粗 段前: 5 磅 段后: 0 磅 行距: 固定值 20..."/>
    <w:basedOn w:val="5"/>
    <w:qFormat/>
    <w:uiPriority w:val="0"/>
    <w:pPr>
      <w:spacing w:before="100" w:after="0" w:line="400" w:lineRule="exact"/>
    </w:pPr>
    <w:rPr>
      <w:rFonts w:ascii="Times New Roman" w:hAnsi="Times New Roman" w:eastAsia="宋体"/>
      <w:b w:val="0"/>
      <w:sz w:val="28"/>
      <w:szCs w:val="20"/>
    </w:rPr>
  </w:style>
  <w:style w:type="paragraph" w:customStyle="1" w:styleId="195">
    <w:name w:val="Char Char10 Char"/>
    <w:basedOn w:val="1"/>
    <w:qFormat/>
    <w:uiPriority w:val="0"/>
  </w:style>
  <w:style w:type="paragraph" w:customStyle="1" w:styleId="196">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197">
    <w:name w:val="top1"/>
    <w:basedOn w:val="1"/>
    <w:qFormat/>
    <w:uiPriority w:val="0"/>
    <w:pPr>
      <w:widowControl/>
      <w:spacing w:before="100" w:beforeAutospacing="1" w:after="100" w:afterAutospacing="1"/>
      <w:jc w:val="left"/>
    </w:pPr>
    <w:rPr>
      <w:rFonts w:ascii="ˎ̥" w:hAnsi="ˎ̥"/>
      <w:color w:val="000066"/>
      <w:kern w:val="0"/>
      <w:sz w:val="18"/>
    </w:rPr>
  </w:style>
  <w:style w:type="paragraph" w:customStyle="1" w:styleId="198">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199">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20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201">
    <w:name w:val="style22"/>
    <w:basedOn w:val="1"/>
    <w:qFormat/>
    <w:uiPriority w:val="0"/>
    <w:pPr>
      <w:widowControl/>
      <w:spacing w:before="100" w:beforeAutospacing="1" w:after="100" w:afterAutospacing="1"/>
      <w:jc w:val="left"/>
    </w:pPr>
    <w:rPr>
      <w:rFonts w:ascii="宋体" w:hAnsi="宋体" w:cs="宋体"/>
      <w:b/>
      <w:bCs/>
      <w:color w:val="FF00FF"/>
      <w:kern w:val="0"/>
      <w:sz w:val="18"/>
      <w:szCs w:val="18"/>
    </w:rPr>
  </w:style>
  <w:style w:type="paragraph" w:customStyle="1" w:styleId="202">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03">
    <w:name w:val="r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204">
    <w:name w:val="默认段落字体 Para Char Char Char Char Char Char Char"/>
    <w:basedOn w:val="1"/>
    <w:qFormat/>
    <w:uiPriority w:val="0"/>
    <w:rPr>
      <w:rFonts w:ascii="MS Mincho" w:hAnsi="MS Mincho" w:cs="Droid Sans"/>
      <w:sz w:val="24"/>
    </w:rPr>
  </w:style>
  <w:style w:type="paragraph" w:customStyle="1" w:styleId="205">
    <w:name w:val="样式 标题 5 + 宋体"/>
    <w:basedOn w:val="8"/>
    <w:qFormat/>
    <w:uiPriority w:val="0"/>
    <w:pPr>
      <w:spacing w:before="100"/>
    </w:pPr>
    <w:rPr>
      <w:rFonts w:ascii="楷体_GB2312" w:hAnsi="楷体_GB2312" w:cs="Droid Sans"/>
      <w:sz w:val="24"/>
    </w:rPr>
  </w:style>
  <w:style w:type="paragraph" w:customStyle="1" w:styleId="206">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b w:val="0"/>
      <w:sz w:val="32"/>
      <w:szCs w:val="20"/>
    </w:rPr>
  </w:style>
  <w:style w:type="paragraph" w:customStyle="1" w:styleId="2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208">
    <w:name w:val="NNN Char Char Char1 Char Char Char Char Char Char"/>
    <w:basedOn w:val="1"/>
    <w:qFormat/>
    <w:uiPriority w:val="0"/>
    <w:pPr>
      <w:tabs>
        <w:tab w:val="left" w:pos="360"/>
      </w:tabs>
    </w:pPr>
    <w:rPr>
      <w:sz w:val="24"/>
    </w:rPr>
  </w:style>
  <w:style w:type="paragraph" w:customStyle="1" w:styleId="20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210">
    <w:name w:val="Char21"/>
    <w:basedOn w:val="1"/>
    <w:qFormat/>
    <w:uiPriority w:val="0"/>
    <w:rPr>
      <w:rFonts w:ascii="Tahoma" w:hAnsi="Tahoma"/>
      <w:sz w:val="24"/>
    </w:rPr>
  </w:style>
  <w:style w:type="paragraph" w:customStyle="1" w:styleId="211">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212">
    <w:name w:val="ZHENWEN"/>
    <w:basedOn w:val="18"/>
    <w:qFormat/>
    <w:uiPriority w:val="0"/>
    <w:pPr>
      <w:spacing w:before="120"/>
      <w:ind w:firstLine="200" w:firstLineChars="200"/>
      <w:jc w:val="left"/>
    </w:pPr>
    <w:rPr>
      <w:rFonts w:ascii="Wingdings" w:hAnsi="Wingdings" w:eastAsia="Calibri" w:cs="Droid Sans"/>
      <w:sz w:val="24"/>
    </w:rPr>
  </w:style>
  <w:style w:type="paragraph" w:customStyle="1" w:styleId="213">
    <w:name w:val="Char Char Char Char Char Char Char Char Char Char Char Char1"/>
    <w:basedOn w:val="1"/>
    <w:qFormat/>
    <w:uiPriority w:val="0"/>
    <w:pPr>
      <w:spacing w:line="300" w:lineRule="auto"/>
    </w:pPr>
    <w:rPr>
      <w:rFonts w:ascii="宋体" w:hAnsi="宋体"/>
      <w:b/>
      <w:bCs/>
      <w:color w:val="000000"/>
      <w:spacing w:val="8"/>
      <w:kern w:val="0"/>
      <w:sz w:val="24"/>
    </w:rPr>
  </w:style>
  <w:style w:type="paragraph" w:customStyle="1" w:styleId="214">
    <w:name w:val="五级条标题"/>
    <w:basedOn w:val="215"/>
    <w:next w:val="146"/>
    <w:qFormat/>
    <w:uiPriority w:val="0"/>
    <w:pPr>
      <w:outlineLvl w:val="6"/>
    </w:pPr>
  </w:style>
  <w:style w:type="paragraph" w:customStyle="1" w:styleId="215">
    <w:name w:val="四级条标题"/>
    <w:basedOn w:val="216"/>
    <w:next w:val="146"/>
    <w:qFormat/>
    <w:uiPriority w:val="0"/>
    <w:pPr>
      <w:outlineLvl w:val="5"/>
    </w:pPr>
  </w:style>
  <w:style w:type="paragraph" w:customStyle="1" w:styleId="216">
    <w:name w:val="三级条标题"/>
    <w:basedOn w:val="217"/>
    <w:next w:val="146"/>
    <w:qFormat/>
    <w:uiPriority w:val="0"/>
    <w:pPr>
      <w:outlineLvl w:val="4"/>
    </w:pPr>
  </w:style>
  <w:style w:type="paragraph" w:customStyle="1" w:styleId="217">
    <w:name w:val="二级条标题"/>
    <w:basedOn w:val="218"/>
    <w:next w:val="146"/>
    <w:qFormat/>
    <w:uiPriority w:val="0"/>
    <w:pPr>
      <w:outlineLvl w:val="3"/>
    </w:pPr>
  </w:style>
  <w:style w:type="paragraph" w:customStyle="1" w:styleId="218">
    <w:name w:val="一级条标题"/>
    <w:basedOn w:val="166"/>
    <w:next w:val="146"/>
    <w:qFormat/>
    <w:uiPriority w:val="0"/>
    <w:pPr>
      <w:spacing w:before="0" w:after="0"/>
      <w:outlineLvl w:val="2"/>
    </w:pPr>
    <w:rPr>
      <w:rFonts w:ascii="宋体" w:eastAsia="宋体"/>
    </w:rPr>
  </w:style>
  <w:style w:type="paragraph" w:customStyle="1" w:styleId="219">
    <w:name w:val="默认段落字体 Para Char Char Char Char Char Char Char Char Char Char"/>
    <w:basedOn w:val="51"/>
    <w:qFormat/>
    <w:uiPriority w:val="0"/>
    <w:pPr>
      <w:shd w:val="clear" w:color="auto" w:fill="auto"/>
    </w:pPr>
    <w:rPr>
      <w:rFonts w:ascii="宋体"/>
      <w:sz w:val="18"/>
      <w:szCs w:val="18"/>
    </w:rPr>
  </w:style>
  <w:style w:type="paragraph" w:customStyle="1" w:styleId="220">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21">
    <w:name w:val="1 Char"/>
    <w:basedOn w:val="1"/>
    <w:qFormat/>
    <w:uiPriority w:val="0"/>
    <w:rPr>
      <w:rFonts w:ascii="Tahoma" w:hAnsi="Tahoma"/>
      <w:sz w:val="24"/>
    </w:rPr>
  </w:style>
  <w:style w:type="paragraph" w:customStyle="1" w:styleId="222">
    <w:name w:val="lift_top"/>
    <w:basedOn w:val="1"/>
    <w:qFormat/>
    <w:uiPriority w:val="0"/>
    <w:pPr>
      <w:widowControl/>
      <w:spacing w:before="100" w:beforeAutospacing="1" w:after="100" w:afterAutospacing="1"/>
      <w:jc w:val="left"/>
    </w:pPr>
    <w:rPr>
      <w:rFonts w:ascii="ˎ̥" w:hAnsi="ˎ̥"/>
      <w:color w:val="000099"/>
      <w:kern w:val="0"/>
      <w:sz w:val="9"/>
    </w:rPr>
  </w:style>
  <w:style w:type="paragraph" w:customStyle="1" w:styleId="223">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224">
    <w:name w:val="_Style 13"/>
    <w:basedOn w:val="1"/>
    <w:qFormat/>
    <w:uiPriority w:val="0"/>
    <w:pPr>
      <w:tabs>
        <w:tab w:val="left" w:pos="425"/>
      </w:tabs>
      <w:ind w:left="425" w:hanging="425"/>
    </w:pPr>
    <w:rPr>
      <w:rFonts w:cs="Droid Sans"/>
      <w:sz w:val="18"/>
    </w:rPr>
  </w:style>
  <w:style w:type="paragraph" w:customStyle="1" w:styleId="225">
    <w:name w:val="标书正文"/>
    <w:basedOn w:val="1"/>
    <w:qFormat/>
    <w:uiPriority w:val="0"/>
    <w:pPr>
      <w:snapToGrid w:val="0"/>
      <w:spacing w:line="360" w:lineRule="auto"/>
      <w:ind w:firstLine="560" w:firstLineChars="200"/>
    </w:pPr>
    <w:rPr>
      <w:rFonts w:ascii="宋体" w:hAnsi="宋体"/>
      <w:color w:val="000000"/>
      <w:sz w:val="24"/>
    </w:rPr>
  </w:style>
  <w:style w:type="paragraph" w:customStyle="1" w:styleId="226">
    <w:name w:val="样式 标题 8 + 左"/>
    <w:basedOn w:val="11"/>
    <w:qFormat/>
    <w:uiPriority w:val="0"/>
    <w:pPr>
      <w:spacing w:line="319" w:lineRule="auto"/>
      <w:jc w:val="left"/>
    </w:pPr>
    <w:rPr>
      <w:rFonts w:ascii="Cambria" w:hAnsi="Cambria" w:eastAsia="宋体" w:cs="宋体"/>
      <w:szCs w:val="20"/>
      <w:lang w:eastAsia="en-US"/>
    </w:rPr>
  </w:style>
  <w:style w:type="paragraph" w:customStyle="1" w:styleId="227">
    <w:name w:val="样式 小四 段前: 5 磅 段后: 5 磅 首行缩进:  2 字符"/>
    <w:basedOn w:val="1"/>
    <w:qFormat/>
    <w:uiPriority w:val="0"/>
    <w:pPr>
      <w:spacing w:before="100" w:afterLines="50" w:line="360" w:lineRule="auto"/>
    </w:pPr>
    <w:rPr>
      <w:rFonts w:cs="Droid Sans"/>
      <w:kern w:val="0"/>
      <w:sz w:val="24"/>
    </w:rPr>
  </w:style>
  <w:style w:type="paragraph" w:customStyle="1" w:styleId="228">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229">
    <w:name w:val="top"/>
    <w:basedOn w:val="1"/>
    <w:qFormat/>
    <w:uiPriority w:val="0"/>
    <w:pPr>
      <w:widowControl/>
      <w:spacing w:before="100" w:beforeAutospacing="1" w:after="100" w:afterAutospacing="1"/>
      <w:jc w:val="left"/>
    </w:pPr>
    <w:rPr>
      <w:rFonts w:ascii="ˎ̥" w:hAnsi="ˎ̥"/>
      <w:color w:val="FFFFFF"/>
      <w:kern w:val="0"/>
      <w:sz w:val="18"/>
    </w:rPr>
  </w:style>
  <w:style w:type="paragraph" w:customStyle="1" w:styleId="230">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31">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32">
    <w:name w:val="D&amp;L"/>
    <w:basedOn w:val="26"/>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33">
    <w:name w:val="1 Char Char Char Char"/>
    <w:basedOn w:val="1"/>
    <w:qFormat/>
    <w:uiPriority w:val="0"/>
    <w:rPr>
      <w:rFonts w:ascii="Tahoma" w:hAnsi="Tahoma"/>
      <w:sz w:val="24"/>
    </w:rPr>
  </w:style>
  <w:style w:type="paragraph" w:customStyle="1" w:styleId="234">
    <w:name w:val="样式 标题 8 +"/>
    <w:basedOn w:val="11"/>
    <w:qFormat/>
    <w:uiPriority w:val="0"/>
    <w:pPr>
      <w:spacing w:line="319" w:lineRule="auto"/>
      <w:jc w:val="left"/>
    </w:pPr>
    <w:rPr>
      <w:rFonts w:ascii="Cambria" w:hAnsi="Cambria" w:eastAsia="宋体"/>
      <w:lang w:eastAsia="en-US"/>
    </w:rPr>
  </w:style>
  <w:style w:type="paragraph" w:customStyle="1" w:styleId="235">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236">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37">
    <w:name w:val="_Style 2"/>
    <w:basedOn w:val="1"/>
    <w:qFormat/>
    <w:uiPriority w:val="0"/>
    <w:pPr>
      <w:ind w:firstLine="420" w:firstLineChars="200"/>
    </w:pPr>
    <w:rPr>
      <w:rFonts w:cs="Droid Sans"/>
    </w:rPr>
  </w:style>
  <w:style w:type="paragraph" w:customStyle="1" w:styleId="238">
    <w:name w:val="xl92"/>
    <w:basedOn w:val="1"/>
    <w:qFormat/>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239">
    <w:name w:val="style11"/>
    <w:basedOn w:val="1"/>
    <w:qFormat/>
    <w:uiPriority w:val="0"/>
    <w:pPr>
      <w:widowControl/>
      <w:spacing w:before="100" w:beforeAutospacing="1" w:after="100" w:afterAutospacing="1"/>
      <w:jc w:val="left"/>
    </w:pPr>
    <w:rPr>
      <w:rFonts w:ascii="宋体" w:hAnsi="宋体" w:cs="宋体"/>
      <w:color w:val="0000FF"/>
      <w:kern w:val="0"/>
      <w:sz w:val="18"/>
      <w:szCs w:val="18"/>
    </w:rPr>
  </w:style>
  <w:style w:type="paragraph" w:customStyle="1" w:styleId="240">
    <w:name w:val="ZW"/>
    <w:basedOn w:val="1"/>
    <w:qFormat/>
    <w:uiPriority w:val="0"/>
    <w:pPr>
      <w:widowControl/>
      <w:topLinePunct/>
      <w:spacing w:line="360" w:lineRule="auto"/>
      <w:ind w:firstLine="425" w:firstLineChars="200"/>
    </w:pPr>
    <w:rPr>
      <w:rFonts w:eastAsia="仿宋_GB2312"/>
      <w:spacing w:val="8"/>
      <w:sz w:val="24"/>
    </w:rPr>
  </w:style>
  <w:style w:type="paragraph" w:customStyle="1" w:styleId="241">
    <w:name w:val="D标4"/>
    <w:basedOn w:val="1"/>
    <w:next w:val="242"/>
    <w:qFormat/>
    <w:uiPriority w:val="0"/>
    <w:pPr>
      <w:numPr>
        <w:ilvl w:val="0"/>
        <w:numId w:val="10"/>
      </w:numPr>
      <w:tabs>
        <w:tab w:val="left" w:pos="1140"/>
        <w:tab w:val="left" w:pos="2700"/>
      </w:tabs>
      <w:autoSpaceDE w:val="0"/>
      <w:autoSpaceDN w:val="0"/>
      <w:adjustRightInd w:val="0"/>
      <w:spacing w:before="120" w:line="480" w:lineRule="atLeast"/>
    </w:pPr>
    <w:rPr>
      <w:rFonts w:cs="Droid Sans"/>
      <w:kern w:val="0"/>
      <w:sz w:val="24"/>
    </w:rPr>
  </w:style>
  <w:style w:type="paragraph" w:customStyle="1" w:styleId="242">
    <w:name w:val="D文1"/>
    <w:basedOn w:val="1"/>
    <w:qFormat/>
    <w:uiPriority w:val="0"/>
    <w:pPr>
      <w:tabs>
        <w:tab w:val="left" w:pos="720"/>
      </w:tabs>
      <w:autoSpaceDE w:val="0"/>
      <w:autoSpaceDN w:val="0"/>
      <w:adjustRightInd w:val="0"/>
      <w:spacing w:after="120" w:line="480" w:lineRule="atLeast"/>
      <w:ind w:left="680" w:firstLine="510"/>
    </w:pPr>
    <w:rPr>
      <w:rFonts w:cs="Droid Sans"/>
      <w:kern w:val="0"/>
      <w:sz w:val="24"/>
    </w:rPr>
  </w:style>
  <w:style w:type="paragraph" w:customStyle="1" w:styleId="243">
    <w:name w:val="Char3"/>
    <w:basedOn w:val="1"/>
    <w:qFormat/>
    <w:uiPriority w:val="0"/>
    <w:rPr>
      <w:rFonts w:ascii="MS Mincho" w:hAnsi="MS Mincho" w:cs="Droid Sans"/>
      <w:sz w:val="24"/>
    </w:rPr>
  </w:style>
  <w:style w:type="paragraph" w:customStyle="1" w:styleId="244">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24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246">
    <w:name w:val="标题3"/>
    <w:basedOn w:val="27"/>
    <w:qFormat/>
    <w:uiPriority w:val="0"/>
    <w:pPr>
      <w:spacing w:line="360" w:lineRule="auto"/>
    </w:pPr>
    <w:rPr>
      <w:rFonts w:ascii="Tahoma" w:hAnsi="Tahoma" w:eastAsia="黑体"/>
      <w:b/>
      <w:sz w:val="24"/>
    </w:rPr>
  </w:style>
  <w:style w:type="paragraph" w:customStyle="1" w:styleId="247">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248">
    <w:name w:val="技术方案正文样式"/>
    <w:basedOn w:val="1"/>
    <w:qFormat/>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249">
    <w:name w:val="xl249"/>
    <w:basedOn w:val="1"/>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250">
    <w:name w:val="前言、引言标题"/>
    <w:next w:val="1"/>
    <w:qFormat/>
    <w:uiPriority w:val="0"/>
    <w:pPr>
      <w:shd w:val="clear" w:color="FFFFFF" w:fill="FFFFFF"/>
      <w:spacing w:before="640" w:after="560" w:line="278" w:lineRule="auto"/>
      <w:jc w:val="center"/>
      <w:outlineLvl w:val="0"/>
    </w:pPr>
    <w:rPr>
      <w:rFonts w:ascii="黑体" w:hAnsi="Times New Roman" w:eastAsia="黑体" w:cs="Times New Roman"/>
      <w:sz w:val="32"/>
      <w:lang w:val="en-US" w:eastAsia="zh-CN" w:bidi="ar-SA"/>
    </w:rPr>
  </w:style>
  <w:style w:type="paragraph" w:customStyle="1" w:styleId="251">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252">
    <w:name w:val="Char Char Char Char Char"/>
    <w:basedOn w:val="1"/>
    <w:qFormat/>
    <w:uiPriority w:val="0"/>
    <w:rPr>
      <w:rFonts w:ascii="Tahoma" w:hAnsi="Tahoma"/>
      <w:sz w:val="24"/>
    </w:rPr>
  </w:style>
  <w:style w:type="paragraph" w:customStyle="1" w:styleId="253">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55">
    <w:name w:val="black"/>
    <w:basedOn w:val="1"/>
    <w:qFormat/>
    <w:uiPriority w:val="0"/>
    <w:pPr>
      <w:widowControl/>
      <w:spacing w:before="100" w:beforeAutospacing="1" w:after="100" w:afterAutospacing="1"/>
      <w:jc w:val="left"/>
    </w:pPr>
    <w:rPr>
      <w:rFonts w:ascii="ˎ̥" w:hAnsi="ˎ̥"/>
      <w:color w:val="000066"/>
      <w:kern w:val="0"/>
      <w:sz w:val="18"/>
    </w:rPr>
  </w:style>
  <w:style w:type="paragraph" w:customStyle="1" w:styleId="256">
    <w:name w:val="xl76"/>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257">
    <w:name w:val="style20"/>
    <w:basedOn w:val="1"/>
    <w:qFormat/>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258">
    <w:name w:val="link"/>
    <w:basedOn w:val="1"/>
    <w:qFormat/>
    <w:uiPriority w:val="0"/>
    <w:pPr>
      <w:widowControl/>
      <w:spacing w:before="100" w:beforeAutospacing="1" w:after="100" w:afterAutospacing="1"/>
      <w:jc w:val="left"/>
    </w:pPr>
    <w:rPr>
      <w:rFonts w:ascii="ˎ̥" w:hAnsi="ˎ̥"/>
      <w:color w:val="336699"/>
      <w:kern w:val="0"/>
      <w:sz w:val="18"/>
    </w:rPr>
  </w:style>
  <w:style w:type="paragraph" w:customStyle="1" w:styleId="259">
    <w:name w:val="Char Char Char Char"/>
    <w:basedOn w:val="1"/>
    <w:qFormat/>
    <w:uiPriority w:val="0"/>
    <w:rPr>
      <w:rFonts w:ascii="Tahoma" w:hAnsi="Tahoma"/>
      <w:sz w:val="24"/>
    </w:rPr>
  </w:style>
  <w:style w:type="paragraph" w:customStyle="1" w:styleId="260">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261">
    <w:name w:val="正文（缩进）"/>
    <w:basedOn w:val="1"/>
    <w:qFormat/>
    <w:uiPriority w:val="0"/>
    <w:pPr>
      <w:widowControl/>
      <w:spacing w:before="156" w:after="156"/>
      <w:ind w:firstLine="480" w:firstLineChars="200"/>
      <w:jc w:val="left"/>
    </w:pPr>
    <w:rPr>
      <w:rFonts w:ascii="仿宋_GB2312" w:eastAsia="仿宋_GB2312"/>
      <w:kern w:val="0"/>
      <w:sz w:val="24"/>
    </w:rPr>
  </w:style>
  <w:style w:type="paragraph" w:customStyle="1" w:styleId="262">
    <w:name w:val="right"/>
    <w:basedOn w:val="1"/>
    <w:qFormat/>
    <w:uiPriority w:val="0"/>
    <w:pPr>
      <w:widowControl/>
      <w:spacing w:before="100" w:beforeAutospacing="1" w:after="100" w:afterAutospacing="1"/>
      <w:jc w:val="left"/>
    </w:pPr>
    <w:rPr>
      <w:rFonts w:ascii="ˎ̥" w:hAnsi="ˎ̥"/>
      <w:color w:val="000099"/>
      <w:kern w:val="0"/>
      <w:sz w:val="18"/>
    </w:rPr>
  </w:style>
  <w:style w:type="paragraph" w:customStyle="1" w:styleId="263">
    <w:name w:val="rightbg"/>
    <w:basedOn w:val="1"/>
    <w:qFormat/>
    <w:uiPriority w:val="0"/>
    <w:pPr>
      <w:widowControl/>
      <w:spacing w:before="100" w:beforeAutospacing="1" w:after="100" w:afterAutospacing="1"/>
      <w:jc w:val="left"/>
    </w:pPr>
    <w:rPr>
      <w:rFonts w:ascii="宋体" w:hAnsi="宋体" w:cs="宋体"/>
      <w:kern w:val="0"/>
      <w:sz w:val="24"/>
    </w:rPr>
  </w:style>
  <w:style w:type="paragraph" w:customStyle="1" w:styleId="264">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265">
    <w:name w:val="样式 小四"/>
    <w:basedOn w:val="1"/>
    <w:qFormat/>
    <w:uiPriority w:val="0"/>
    <w:pPr>
      <w:ind w:firstLine="480" w:firstLineChars="200"/>
    </w:pPr>
    <w:rPr>
      <w:sz w:val="24"/>
    </w:rPr>
  </w:style>
  <w:style w:type="paragraph" w:customStyle="1" w:styleId="266">
    <w:name w:val="中等深浅网格 21"/>
    <w:qFormat/>
    <w:uiPriority w:val="0"/>
    <w:pPr>
      <w:widowControl w:val="0"/>
      <w:spacing w:after="160" w:line="278" w:lineRule="auto"/>
      <w:jc w:val="both"/>
    </w:pPr>
    <w:rPr>
      <w:rFonts w:ascii="Times New Roman" w:hAnsi="Times New Roman" w:eastAsia="宋体" w:cs="Times New Roman"/>
      <w:kern w:val="2"/>
      <w:sz w:val="21"/>
      <w:szCs w:val="22"/>
      <w:lang w:val="en-US" w:eastAsia="zh-CN" w:bidi="ar-SA"/>
    </w:rPr>
  </w:style>
  <w:style w:type="paragraph" w:customStyle="1" w:styleId="267">
    <w:name w:val="No Spacing1"/>
    <w:qFormat/>
    <w:uiPriority w:val="0"/>
    <w:pPr>
      <w:widowControl w:val="0"/>
      <w:spacing w:after="160" w:line="278" w:lineRule="auto"/>
      <w:jc w:val="both"/>
    </w:pPr>
    <w:rPr>
      <w:rFonts w:ascii="Times New Roman" w:hAnsi="Times New Roman" w:eastAsia="宋体" w:cs="Calibri"/>
      <w:kern w:val="2"/>
      <w:sz w:val="21"/>
      <w:szCs w:val="21"/>
      <w:lang w:val="en-US" w:eastAsia="zh-CN" w:bidi="ar-SA"/>
    </w:rPr>
  </w:style>
  <w:style w:type="paragraph" w:customStyle="1" w:styleId="268">
    <w:name w:val="_Style 484"/>
    <w:basedOn w:val="4"/>
    <w:next w:val="1"/>
    <w:qFormat/>
    <w:uiPriority w:val="0"/>
    <w:pPr>
      <w:spacing w:after="260" w:line="360" w:lineRule="auto"/>
      <w:outlineLvl w:val="9"/>
    </w:pPr>
    <w:rPr>
      <w:sz w:val="32"/>
    </w:rPr>
  </w:style>
  <w:style w:type="paragraph" w:customStyle="1" w:styleId="269">
    <w:name w:val="图注1"/>
    <w:basedOn w:val="1"/>
    <w:qFormat/>
    <w:uiPriority w:val="0"/>
    <w:pPr>
      <w:widowControl/>
      <w:spacing w:before="5" w:line="300" w:lineRule="auto"/>
      <w:ind w:firstLine="200" w:firstLineChars="200"/>
      <w:jc w:val="center"/>
    </w:pPr>
    <w:rPr>
      <w:sz w:val="24"/>
      <w:szCs w:val="21"/>
    </w:rPr>
  </w:style>
  <w:style w:type="paragraph" w:customStyle="1" w:styleId="270">
    <w:name w:val="样式4"/>
    <w:basedOn w:val="1"/>
    <w:qFormat/>
    <w:uiPriority w:val="0"/>
    <w:pPr>
      <w:spacing w:afterLines="50" w:line="360" w:lineRule="auto"/>
      <w:ind w:left="839" w:right="227"/>
      <w:textAlignment w:val="center"/>
    </w:pPr>
    <w:rPr>
      <w:rFonts w:ascii="Arial" w:hAnsi="Arial" w:eastAsia="Arial" w:cs="Droid Sans"/>
      <w:spacing w:val="20"/>
      <w:sz w:val="24"/>
    </w:rPr>
  </w:style>
  <w:style w:type="paragraph" w:customStyle="1" w:styleId="271">
    <w:name w:val="样式 首行缩进:  0 字符"/>
    <w:basedOn w:val="1"/>
    <w:qFormat/>
    <w:uiPriority w:val="0"/>
    <w:pPr>
      <w:spacing w:line="360" w:lineRule="auto"/>
      <w:ind w:firstLine="200" w:firstLineChars="200"/>
    </w:pPr>
    <w:rPr>
      <w:rFonts w:cs="宋体"/>
      <w:sz w:val="24"/>
    </w:rPr>
  </w:style>
  <w:style w:type="paragraph" w:customStyle="1" w:styleId="272">
    <w:name w:val="样式 标题6 + 左"/>
    <w:basedOn w:val="130"/>
    <w:qFormat/>
    <w:uiPriority w:val="0"/>
    <w:pPr>
      <w:spacing w:line="319" w:lineRule="auto"/>
      <w:jc w:val="left"/>
    </w:pPr>
  </w:style>
  <w:style w:type="paragraph" w:customStyle="1" w:styleId="273">
    <w:name w:val="attr-list-hd1"/>
    <w:basedOn w:val="1"/>
    <w:qFormat/>
    <w:uiPriority w:val="0"/>
    <w:pPr>
      <w:widowControl/>
      <w:spacing w:before="100" w:beforeAutospacing="1" w:after="100" w:afterAutospacing="1" w:line="330" w:lineRule="atLeast"/>
      <w:jc w:val="left"/>
    </w:pPr>
    <w:rPr>
      <w:rFonts w:ascii="宋体" w:hAnsi="宋体" w:cs="宋体"/>
      <w:color w:val="999999"/>
      <w:kern w:val="0"/>
      <w:sz w:val="24"/>
    </w:rPr>
  </w:style>
  <w:style w:type="paragraph" w:customStyle="1" w:styleId="27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75">
    <w:name w:val="标题7"/>
    <w:basedOn w:val="10"/>
    <w:next w:val="1"/>
    <w:qFormat/>
    <w:uiPriority w:val="0"/>
    <w:pPr>
      <w:numPr>
        <w:ilvl w:val="6"/>
        <w:numId w:val="11"/>
      </w:numPr>
      <w:spacing w:beforeLines="50" w:afterLines="50" w:line="360" w:lineRule="auto"/>
      <w:ind w:firstLine="0"/>
    </w:pPr>
    <w:rPr>
      <w:rFonts w:eastAsia="黑体" w:cs="宋体"/>
      <w:szCs w:val="20"/>
    </w:rPr>
  </w:style>
  <w:style w:type="paragraph" w:customStyle="1" w:styleId="276">
    <w:name w:val="默认段落字体 Para Char Char Char Char"/>
    <w:basedOn w:val="1"/>
    <w:qFormat/>
    <w:uiPriority w:val="0"/>
    <w:pPr>
      <w:snapToGrid w:val="0"/>
      <w:spacing w:line="360" w:lineRule="auto"/>
      <w:ind w:firstLine="200" w:firstLineChars="200"/>
    </w:pPr>
  </w:style>
  <w:style w:type="paragraph" w:customStyle="1" w:styleId="277">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278">
    <w:name w:val="默认段落字体 Para Char"/>
    <w:basedOn w:val="1"/>
    <w:qFormat/>
    <w:uiPriority w:val="0"/>
  </w:style>
  <w:style w:type="paragraph" w:customStyle="1" w:styleId="279">
    <w:name w:val="List Paragraph11"/>
    <w:basedOn w:val="1"/>
    <w:qFormat/>
    <w:uiPriority w:val="0"/>
    <w:pPr>
      <w:ind w:firstLine="420" w:firstLineChars="200"/>
    </w:pPr>
  </w:style>
  <w:style w:type="paragraph" w:customStyle="1" w:styleId="280">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281">
    <w:name w:val="样式2"/>
    <w:basedOn w:val="1"/>
    <w:qFormat/>
    <w:uiPriority w:val="0"/>
    <w:pPr>
      <w:ind w:firstLine="540" w:firstLineChars="225"/>
    </w:pPr>
    <w:rPr>
      <w:sz w:val="24"/>
    </w:rPr>
  </w:style>
  <w:style w:type="paragraph" w:customStyle="1" w:styleId="282">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283">
    <w:name w:val="middle"/>
    <w:basedOn w:val="1"/>
    <w:qFormat/>
    <w:uiPriority w:val="0"/>
    <w:pPr>
      <w:widowControl/>
      <w:spacing w:before="100" w:beforeAutospacing="1" w:after="100" w:afterAutospacing="1"/>
      <w:jc w:val="left"/>
    </w:pPr>
    <w:rPr>
      <w:rFonts w:ascii="ˎ̥" w:hAnsi="ˎ̥"/>
      <w:color w:val="666666"/>
      <w:kern w:val="0"/>
      <w:sz w:val="18"/>
    </w:rPr>
  </w:style>
  <w:style w:type="paragraph" w:customStyle="1" w:styleId="284">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28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286">
    <w:name w:val="List Paragraph1"/>
    <w:basedOn w:val="1"/>
    <w:qFormat/>
    <w:uiPriority w:val="0"/>
    <w:pPr>
      <w:ind w:firstLine="420" w:firstLineChars="200"/>
    </w:pPr>
    <w:rPr>
      <w:szCs w:val="22"/>
    </w:rPr>
  </w:style>
  <w:style w:type="paragraph" w:customStyle="1" w:styleId="287">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288">
    <w:name w:val="无间隔2"/>
    <w:qFormat/>
    <w:uiPriority w:val="0"/>
    <w:pPr>
      <w:adjustRightInd w:val="0"/>
      <w:snapToGrid w:val="0"/>
      <w:spacing w:after="160" w:line="278" w:lineRule="auto"/>
    </w:pPr>
    <w:rPr>
      <w:rFonts w:ascii="Tahoma" w:hAnsi="Tahoma" w:eastAsia="微软雅黑" w:cs="Times New Roman"/>
      <w:sz w:val="22"/>
      <w:szCs w:val="22"/>
      <w:lang w:val="en-US" w:eastAsia="zh-CN" w:bidi="ar-SA"/>
    </w:rPr>
  </w:style>
  <w:style w:type="paragraph" w:customStyle="1" w:styleId="289">
    <w:name w:val="标题 31"/>
    <w:basedOn w:val="1"/>
    <w:next w:val="1"/>
    <w:qFormat/>
    <w:uiPriority w:val="0"/>
    <w:pPr>
      <w:keepNext/>
      <w:keepLines/>
      <w:numPr>
        <w:ilvl w:val="0"/>
        <w:numId w:val="12"/>
      </w:numPr>
      <w:spacing w:before="260" w:after="260" w:line="416" w:lineRule="auto"/>
      <w:ind w:left="780" w:hanging="360"/>
      <w:outlineLvl w:val="2"/>
    </w:pPr>
    <w:rPr>
      <w:b/>
      <w:bCs/>
      <w:sz w:val="28"/>
      <w:szCs w:val="32"/>
    </w:rPr>
  </w:style>
  <w:style w:type="paragraph" w:customStyle="1" w:styleId="290">
    <w:name w:val="样式 Arial 左侧:  2 字符 行距: 固定值 29 磅"/>
    <w:basedOn w:val="1"/>
    <w:qFormat/>
    <w:uiPriority w:val="0"/>
    <w:pPr>
      <w:adjustRightInd w:val="0"/>
      <w:spacing w:line="580" w:lineRule="exact"/>
      <w:textAlignment w:val="baseline"/>
    </w:pPr>
    <w:rPr>
      <w:rFonts w:ascii="Arial" w:hAnsi="Arial"/>
      <w:kern w:val="0"/>
      <w:sz w:val="24"/>
    </w:rPr>
  </w:style>
  <w:style w:type="paragraph" w:customStyle="1" w:styleId="291">
    <w:name w:val="flNote"/>
    <w:basedOn w:val="1"/>
    <w:qFormat/>
    <w:uiPriority w:val="0"/>
    <w:pPr>
      <w:adjustRightInd w:val="0"/>
      <w:spacing w:before="320" w:line="360" w:lineRule="atLeast"/>
      <w:jc w:val="center"/>
      <w:textAlignment w:val="baseline"/>
    </w:pPr>
    <w:rPr>
      <w:rFonts w:ascii="Arial" w:eastAsia="黑体"/>
      <w:kern w:val="0"/>
      <w:sz w:val="30"/>
    </w:rPr>
  </w:style>
  <w:style w:type="paragraph" w:customStyle="1" w:styleId="292">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293">
    <w:name w:val="news"/>
    <w:basedOn w:val="1"/>
    <w:qFormat/>
    <w:uiPriority w:val="0"/>
    <w:pPr>
      <w:widowControl/>
      <w:spacing w:before="100" w:beforeAutospacing="1" w:after="100" w:afterAutospacing="1" w:line="165" w:lineRule="atLeast"/>
      <w:jc w:val="left"/>
    </w:pPr>
    <w:rPr>
      <w:rFonts w:ascii="ˎ̥" w:hAnsi="ˎ̥"/>
      <w:color w:val="000000"/>
      <w:kern w:val="0"/>
      <w:sz w:val="11"/>
    </w:rPr>
  </w:style>
  <w:style w:type="paragraph" w:customStyle="1" w:styleId="294">
    <w:name w:val="正文序号 2"/>
    <w:basedOn w:val="1"/>
    <w:qFormat/>
    <w:uiPriority w:val="0"/>
    <w:pPr>
      <w:numPr>
        <w:ilvl w:val="1"/>
        <w:numId w:val="13"/>
      </w:numPr>
      <w:tabs>
        <w:tab w:val="left" w:pos="744"/>
        <w:tab w:val="left" w:pos="1049"/>
      </w:tabs>
      <w:spacing w:before="60"/>
    </w:pPr>
    <w:rPr>
      <w:rFonts w:cs="Droid Sans"/>
      <w:sz w:val="18"/>
    </w:rPr>
  </w:style>
  <w:style w:type="paragraph" w:customStyle="1" w:styleId="29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296">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297">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98">
    <w:name w:val="Char Char Char"/>
    <w:basedOn w:val="1"/>
    <w:qFormat/>
    <w:uiPriority w:val="0"/>
    <w:rPr>
      <w:rFonts w:ascii="Tahoma" w:hAnsi="Tahoma"/>
      <w:sz w:val="24"/>
    </w:rPr>
  </w:style>
  <w:style w:type="paragraph" w:customStyle="1" w:styleId="299">
    <w:name w:val="itemlist"/>
    <w:qFormat/>
    <w:uiPriority w:val="0"/>
    <w:pPr>
      <w:numPr>
        <w:ilvl w:val="0"/>
        <w:numId w:val="14"/>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300">
    <w:name w:val="tytytyty"/>
    <w:basedOn w:val="1"/>
    <w:qFormat/>
    <w:uiPriority w:val="0"/>
    <w:pPr>
      <w:suppressAutoHyphens/>
      <w:spacing w:line="360" w:lineRule="auto"/>
      <w:ind w:left="359" w:leftChars="171" w:firstLine="480" w:firstLineChars="200"/>
    </w:pPr>
    <w:rPr>
      <w:kern w:val="1"/>
      <w:sz w:val="24"/>
      <w:lang w:eastAsia="ar-SA"/>
    </w:rPr>
  </w:style>
  <w:style w:type="paragraph" w:customStyle="1" w:styleId="301">
    <w:name w:val="正文黑体"/>
    <w:basedOn w:val="271"/>
    <w:qFormat/>
    <w:uiPriority w:val="0"/>
    <w:pPr>
      <w:ind w:firstLine="480"/>
    </w:pPr>
    <w:rPr>
      <w:rFonts w:ascii="黑体" w:hAnsi="黑体" w:eastAsia="黑体"/>
    </w:rPr>
  </w:style>
  <w:style w:type="paragraph" w:customStyle="1" w:styleId="30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303">
    <w:name w:val="条2"/>
    <w:basedOn w:val="1"/>
    <w:next w:val="146"/>
    <w:qFormat/>
    <w:uiPriority w:val="0"/>
    <w:pPr>
      <w:numPr>
        <w:ilvl w:val="2"/>
        <w:numId w:val="7"/>
      </w:numPr>
      <w:tabs>
        <w:tab w:val="left" w:pos="810"/>
      </w:tabs>
      <w:outlineLvl w:val="1"/>
    </w:pPr>
    <w:rPr>
      <w:rFonts w:ascii="黑体" w:eastAsia="黑体"/>
      <w:kern w:val="21"/>
    </w:rPr>
  </w:style>
  <w:style w:type="paragraph" w:customStyle="1" w:styleId="304">
    <w:name w:val="正文文本缩进11"/>
    <w:basedOn w:val="1"/>
    <w:qFormat/>
    <w:uiPriority w:val="0"/>
    <w:pPr>
      <w:ind w:firstLine="645"/>
    </w:pPr>
    <w:rPr>
      <w:rFonts w:ascii="楷体_GB2312" w:hAnsi="Times New Roman" w:eastAsia="楷体_GB2312"/>
      <w:sz w:val="32"/>
    </w:rPr>
  </w:style>
  <w:style w:type="paragraph" w:customStyle="1" w:styleId="305">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0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07">
    <w:name w:val="图形符号"/>
    <w:basedOn w:val="1"/>
    <w:qFormat/>
    <w:uiPriority w:val="0"/>
    <w:rPr>
      <w:sz w:val="24"/>
    </w:rPr>
  </w:style>
  <w:style w:type="paragraph" w:customStyle="1" w:styleId="30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0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310">
    <w:name w:val="p15"/>
    <w:basedOn w:val="1"/>
    <w:qFormat/>
    <w:uiPriority w:val="0"/>
    <w:pPr>
      <w:widowControl/>
      <w:spacing w:line="360" w:lineRule="auto"/>
      <w:ind w:firstLine="420"/>
      <w:jc w:val="left"/>
    </w:pPr>
    <w:rPr>
      <w:kern w:val="0"/>
      <w:sz w:val="24"/>
    </w:rPr>
  </w:style>
  <w:style w:type="paragraph" w:customStyle="1" w:styleId="311">
    <w:name w:val="Char Char1"/>
    <w:basedOn w:val="1"/>
    <w:qFormat/>
    <w:uiPriority w:val="0"/>
    <w:rPr>
      <w:rFonts w:ascii="Tahoma" w:hAnsi="Tahoma"/>
      <w:sz w:val="24"/>
    </w:rPr>
  </w:style>
  <w:style w:type="paragraph" w:customStyle="1" w:styleId="31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313">
    <w:name w:val="表1"/>
    <w:basedOn w:val="1"/>
    <w:qFormat/>
    <w:uiPriority w:val="0"/>
    <w:pPr>
      <w:spacing w:before="20" w:after="20" w:line="200" w:lineRule="exact"/>
      <w:jc w:val="left"/>
      <w:textAlignment w:val="center"/>
    </w:pPr>
    <w:rPr>
      <w:rFonts w:cs="Droid Sans"/>
      <w:snapToGrid w:val="0"/>
      <w:spacing w:val="20"/>
      <w:kern w:val="0"/>
      <w:sz w:val="18"/>
    </w:rPr>
  </w:style>
  <w:style w:type="paragraph" w:customStyle="1" w:styleId="31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315">
    <w:name w:val="class"/>
    <w:basedOn w:val="1"/>
    <w:qFormat/>
    <w:uiPriority w:val="0"/>
    <w:pPr>
      <w:widowControl/>
      <w:spacing w:before="100" w:beforeAutospacing="1" w:after="100" w:afterAutospacing="1"/>
      <w:jc w:val="left"/>
    </w:pPr>
    <w:rPr>
      <w:rFonts w:ascii="ˎ̥" w:hAnsi="ˎ̥"/>
      <w:color w:val="000099"/>
      <w:kern w:val="0"/>
      <w:sz w:val="18"/>
    </w:rPr>
  </w:style>
  <w:style w:type="paragraph" w:customStyle="1" w:styleId="316">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317">
    <w:name w:val="bijschrift"/>
    <w:basedOn w:val="1"/>
    <w:qFormat/>
    <w:uiPriority w:val="0"/>
    <w:pPr>
      <w:widowControl/>
      <w:overflowPunct w:val="0"/>
      <w:autoSpaceDE w:val="0"/>
      <w:autoSpaceDN w:val="0"/>
      <w:adjustRightInd w:val="0"/>
      <w:jc w:val="left"/>
      <w:textAlignment w:val="baseline"/>
    </w:pPr>
    <w:rPr>
      <w:rFonts w:ascii="CG Times" w:hAnsi="CG Times"/>
      <w:kern w:val="0"/>
      <w:sz w:val="24"/>
    </w:rPr>
  </w:style>
  <w:style w:type="paragraph" w:customStyle="1" w:styleId="318">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319">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320">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321">
    <w:name w:val="修订1"/>
    <w:qFormat/>
    <w:uiPriority w:val="0"/>
    <w:pPr>
      <w:spacing w:after="160" w:line="278" w:lineRule="auto"/>
    </w:pPr>
    <w:rPr>
      <w:rFonts w:ascii="Times New Roman" w:hAnsi="Times New Roman" w:eastAsia="宋体" w:cs="Times New Roman"/>
      <w:kern w:val="2"/>
      <w:sz w:val="21"/>
      <w:szCs w:val="24"/>
      <w:lang w:val="en-US" w:eastAsia="zh-CN" w:bidi="ar-SA"/>
    </w:rPr>
  </w:style>
  <w:style w:type="paragraph" w:customStyle="1" w:styleId="322">
    <w:name w:val="基本文字 Char"/>
    <w:basedOn w:val="1"/>
    <w:qFormat/>
    <w:uiPriority w:val="0"/>
    <w:pPr>
      <w:spacing w:before="156" w:line="400" w:lineRule="atLeast"/>
      <w:ind w:firstLine="540" w:firstLineChars="225"/>
    </w:pPr>
    <w:rPr>
      <w:sz w:val="24"/>
    </w:rPr>
  </w:style>
  <w:style w:type="paragraph" w:customStyle="1" w:styleId="323">
    <w:name w:val="PP 行"/>
    <w:basedOn w:val="62"/>
    <w:qFormat/>
    <w:uiPriority w:val="0"/>
  </w:style>
  <w:style w:type="paragraph" w:customStyle="1" w:styleId="324">
    <w:name w:val="p0"/>
    <w:basedOn w:val="1"/>
    <w:qFormat/>
    <w:uiPriority w:val="0"/>
    <w:pPr>
      <w:widowControl/>
    </w:pPr>
    <w:rPr>
      <w:kern w:val="0"/>
      <w:szCs w:val="21"/>
    </w:rPr>
  </w:style>
  <w:style w:type="paragraph" w:customStyle="1" w:styleId="325">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26">
    <w:name w:val="0"/>
    <w:basedOn w:val="1"/>
    <w:qFormat/>
    <w:uiPriority w:val="0"/>
    <w:pPr>
      <w:widowControl/>
      <w:snapToGrid w:val="0"/>
      <w:spacing w:line="365" w:lineRule="atLeast"/>
      <w:ind w:left="1"/>
      <w:textAlignment w:val="bottom"/>
    </w:pPr>
    <w:rPr>
      <w:rFonts w:ascii="Times New Roman" w:hAnsi="Times New Roman"/>
      <w:kern w:val="0"/>
      <w:sz w:val="20"/>
    </w:rPr>
  </w:style>
  <w:style w:type="paragraph" w:customStyle="1" w:styleId="327">
    <w:name w:val="Char"/>
    <w:basedOn w:val="1"/>
    <w:qFormat/>
    <w:uiPriority w:val="0"/>
    <w:pPr>
      <w:widowControl/>
      <w:spacing w:line="240" w:lineRule="exact"/>
      <w:jc w:val="left"/>
    </w:pPr>
    <w:rPr>
      <w:rFonts w:ascii="Verdana" w:hAnsi="Verdana"/>
      <w:kern w:val="0"/>
      <w:sz w:val="20"/>
      <w:lang w:eastAsia="en-US"/>
    </w:rPr>
  </w:style>
  <w:style w:type="paragraph" w:customStyle="1" w:styleId="328">
    <w:name w:val="c1"/>
    <w:basedOn w:val="1"/>
    <w:qFormat/>
    <w:uiPriority w:val="0"/>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32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330">
    <w:name w:val="Char111"/>
    <w:basedOn w:val="1"/>
    <w:qFormat/>
    <w:uiPriority w:val="0"/>
    <w:rPr>
      <w:rFonts w:ascii="Tahoma" w:hAnsi="Tahoma"/>
      <w:sz w:val="24"/>
    </w:rPr>
  </w:style>
  <w:style w:type="paragraph" w:customStyle="1" w:styleId="331">
    <w:name w:val="xl241"/>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32">
    <w:name w:val="样式 标题8 + 段前: 0.5 行 段后: 0.5 行"/>
    <w:basedOn w:val="333"/>
    <w:next w:val="1"/>
    <w:qFormat/>
    <w:uiPriority w:val="0"/>
    <w:pPr>
      <w:ind w:left="0" w:firstLine="0"/>
    </w:pPr>
    <w:rPr>
      <w:rFonts w:cs="宋体"/>
    </w:rPr>
  </w:style>
  <w:style w:type="paragraph" w:customStyle="1" w:styleId="333">
    <w:name w:val="标题8"/>
    <w:basedOn w:val="11"/>
    <w:next w:val="1"/>
    <w:qFormat/>
    <w:uiPriority w:val="0"/>
    <w:pPr>
      <w:numPr>
        <w:ilvl w:val="7"/>
        <w:numId w:val="15"/>
      </w:numPr>
      <w:spacing w:beforeLines="50" w:afterLines="50" w:line="360" w:lineRule="auto"/>
      <w:jc w:val="left"/>
    </w:pPr>
    <w:rPr>
      <w:sz w:val="21"/>
      <w:szCs w:val="20"/>
    </w:rPr>
  </w:style>
  <w:style w:type="paragraph" w:customStyle="1" w:styleId="334">
    <w:name w:val="项目编号A"/>
    <w:basedOn w:val="1"/>
    <w:qFormat/>
    <w:uiPriority w:val="0"/>
    <w:pPr>
      <w:numPr>
        <w:ilvl w:val="0"/>
        <w:numId w:val="16"/>
      </w:numPr>
      <w:ind w:left="480" w:firstLine="0"/>
    </w:pPr>
    <w:rPr>
      <w:rFonts w:ascii="Arial" w:hAnsi="Arial"/>
      <w:kern w:val="0"/>
    </w:rPr>
  </w:style>
  <w:style w:type="paragraph" w:customStyle="1" w:styleId="335">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336">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337">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338">
    <w:name w:val="1"/>
    <w:basedOn w:val="1"/>
    <w:next w:val="1"/>
    <w:qFormat/>
    <w:uiPriority w:val="0"/>
  </w:style>
  <w:style w:type="paragraph" w:customStyle="1" w:styleId="339">
    <w:name w:val="Char1 Char Char Char"/>
    <w:basedOn w:val="1"/>
    <w:qFormat/>
    <w:uiPriority w:val="0"/>
    <w:rPr>
      <w:rFonts w:ascii="Tahoma" w:hAnsi="Tahoma"/>
      <w:sz w:val="24"/>
    </w:rPr>
  </w:style>
  <w:style w:type="paragraph" w:customStyle="1" w:styleId="340">
    <w:name w:val="Char11"/>
    <w:basedOn w:val="1"/>
    <w:qFormat/>
    <w:uiPriority w:val="0"/>
    <w:rPr>
      <w:rFonts w:ascii="Tahoma" w:hAnsi="Tahoma"/>
      <w:sz w:val="24"/>
    </w:rPr>
  </w:style>
  <w:style w:type="paragraph" w:customStyle="1" w:styleId="341">
    <w:name w:val="简单回函地址"/>
    <w:basedOn w:val="1"/>
    <w:qFormat/>
    <w:uiPriority w:val="0"/>
  </w:style>
  <w:style w:type="paragraph" w:customStyle="1" w:styleId="342">
    <w:name w:val="Char1 Char Char Char1"/>
    <w:basedOn w:val="1"/>
    <w:qFormat/>
    <w:uiPriority w:val="0"/>
  </w:style>
  <w:style w:type="paragraph" w:customStyle="1" w:styleId="343">
    <w:name w:val="Style List + Left:  0 cm Hanging:  0.8 ch1"/>
    <w:basedOn w:val="96"/>
    <w:qFormat/>
    <w:uiPriority w:val="0"/>
    <w:pPr>
      <w:spacing w:line="360" w:lineRule="auto"/>
      <w:ind w:left="0" w:firstLine="0" w:firstLineChars="0"/>
      <w:jc w:val="left"/>
    </w:pPr>
    <w:rPr>
      <w:rFonts w:ascii="Tahoma" w:hAnsi="Tahoma"/>
      <w:szCs w:val="20"/>
    </w:rPr>
  </w:style>
  <w:style w:type="paragraph" w:customStyle="1" w:styleId="34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345">
    <w:name w:val="Char Char Char Char Char Char Char Char Char Char Char Char"/>
    <w:basedOn w:val="51"/>
    <w:qFormat/>
    <w:uiPriority w:val="0"/>
    <w:pPr>
      <w:shd w:val="clear" w:color="auto" w:fill="auto"/>
    </w:pPr>
    <w:rPr>
      <w:rFonts w:ascii="宋体"/>
      <w:sz w:val="18"/>
      <w:szCs w:val="18"/>
    </w:rPr>
  </w:style>
  <w:style w:type="paragraph" w:customStyle="1" w:styleId="346">
    <w:name w:val="l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347">
    <w:name w:val="Char1 Char Char Char Char Char Char"/>
    <w:basedOn w:val="1"/>
    <w:qFormat/>
    <w:uiPriority w:val="0"/>
    <w:rPr>
      <w:rFonts w:ascii="Tahoma" w:hAnsi="Tahoma"/>
      <w:sz w:val="24"/>
    </w:rPr>
  </w:style>
  <w:style w:type="paragraph" w:customStyle="1" w:styleId="348">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49">
    <w:name w:val="默认段落字体 Para Char Char Char Char Char Char Char Char Char"/>
    <w:basedOn w:val="1"/>
    <w:qFormat/>
    <w:uiPriority w:val="0"/>
    <w:rPr>
      <w:rFonts w:ascii="Tahoma" w:hAnsi="Tahoma" w:cs="Arial"/>
      <w:sz w:val="24"/>
    </w:rPr>
  </w:style>
  <w:style w:type="paragraph" w:customStyle="1" w:styleId="350">
    <w:name w:val="Char Char Char11"/>
    <w:basedOn w:val="1"/>
    <w:qFormat/>
    <w:uiPriority w:val="0"/>
    <w:rPr>
      <w:rFonts w:ascii="Tahoma" w:hAnsi="Tahoma"/>
      <w:sz w:val="24"/>
    </w:rPr>
  </w:style>
  <w:style w:type="paragraph" w:customStyle="1" w:styleId="351">
    <w:name w:val="bottom"/>
    <w:basedOn w:val="1"/>
    <w:qFormat/>
    <w:uiPriority w:val="0"/>
    <w:pPr>
      <w:widowControl/>
      <w:spacing w:before="100" w:beforeAutospacing="1" w:after="100" w:afterAutospacing="1"/>
      <w:jc w:val="left"/>
    </w:pPr>
    <w:rPr>
      <w:rFonts w:ascii="ˎ̥" w:hAnsi="ˎ̥"/>
      <w:color w:val="333333"/>
      <w:kern w:val="0"/>
      <w:sz w:val="18"/>
    </w:rPr>
  </w:style>
  <w:style w:type="paragraph" w:customStyle="1" w:styleId="352">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53">
    <w:name w:val="正文 New New New New"/>
    <w:qFormat/>
    <w:uiPriority w:val="0"/>
    <w:pPr>
      <w:widowControl w:val="0"/>
      <w:spacing w:after="160" w:line="278" w:lineRule="auto"/>
      <w:jc w:val="both"/>
    </w:pPr>
    <w:rPr>
      <w:rFonts w:ascii="Times New Roman" w:hAnsi="Times New Roman" w:eastAsia="宋体" w:cs="Times New Roman"/>
      <w:szCs w:val="24"/>
      <w:lang w:val="en-US" w:eastAsia="zh-CN" w:bidi="ar-SA"/>
    </w:rPr>
  </w:style>
  <w:style w:type="paragraph" w:customStyle="1" w:styleId="354">
    <w:name w:val="样式3"/>
    <w:basedOn w:val="81"/>
    <w:qFormat/>
    <w:uiPriority w:val="0"/>
    <w:pPr>
      <w:spacing w:line="240" w:lineRule="atLeast"/>
      <w:outlineLvl w:val="0"/>
    </w:pPr>
    <w:rPr>
      <w:rFonts w:hAnsi="Calibri" w:cs="Droid Sans"/>
      <w:sz w:val="28"/>
    </w:rPr>
  </w:style>
  <w:style w:type="paragraph" w:customStyle="1" w:styleId="355">
    <w:name w:val="xl251"/>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356">
    <w:name w:val="正文1"/>
    <w:basedOn w:val="1"/>
    <w:qFormat/>
    <w:uiPriority w:val="0"/>
    <w:pPr>
      <w:widowControl/>
      <w:topLinePunct/>
      <w:spacing w:beforeLines="50" w:afterLines="50" w:line="300" w:lineRule="auto"/>
      <w:ind w:left="420"/>
    </w:pPr>
  </w:style>
  <w:style w:type="paragraph" w:customStyle="1" w:styleId="357">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58">
    <w:name w:val="noline"/>
    <w:basedOn w:val="1"/>
    <w:qFormat/>
    <w:uiPriority w:val="0"/>
    <w:pPr>
      <w:widowControl/>
      <w:spacing w:before="100" w:beforeAutospacing="1" w:after="100" w:afterAutospacing="1"/>
      <w:jc w:val="left"/>
    </w:pPr>
    <w:rPr>
      <w:rFonts w:ascii="ˎ̥" w:hAnsi="ˎ̥"/>
      <w:color w:val="000000"/>
      <w:kern w:val="0"/>
      <w:sz w:val="18"/>
    </w:rPr>
  </w:style>
  <w:style w:type="paragraph" w:customStyle="1" w:styleId="359">
    <w:name w:val="_Style 3"/>
    <w:basedOn w:val="1"/>
    <w:qFormat/>
    <w:uiPriority w:val="0"/>
    <w:pPr>
      <w:ind w:firstLine="420" w:firstLineChars="200"/>
    </w:pPr>
  </w:style>
  <w:style w:type="paragraph" w:customStyle="1" w:styleId="360">
    <w:name w:val="样式 标题 3 + (中文) 黑体 小四 非加粗 段前: 7.8 磅 段后: 0 磅 行距: 固定值 20 磅"/>
    <w:basedOn w:val="6"/>
    <w:qFormat/>
    <w:uiPriority w:val="0"/>
    <w:pPr>
      <w:spacing w:before="0" w:after="0" w:line="400" w:lineRule="exact"/>
    </w:pPr>
    <w:rPr>
      <w:rFonts w:ascii="Times New Roman" w:eastAsia="黑体"/>
      <w:b w:val="0"/>
      <w:sz w:val="24"/>
      <w:szCs w:val="20"/>
    </w:rPr>
  </w:style>
  <w:style w:type="paragraph" w:customStyle="1" w:styleId="361">
    <w:name w:val="p1"/>
    <w:basedOn w:val="1"/>
    <w:qFormat/>
    <w:uiPriority w:val="0"/>
    <w:pPr>
      <w:widowControl/>
      <w:jc w:val="left"/>
    </w:pPr>
    <w:rPr>
      <w:kern w:val="0"/>
      <w:sz w:val="22"/>
      <w:szCs w:val="22"/>
    </w:rPr>
  </w:style>
  <w:style w:type="paragraph" w:customStyle="1" w:styleId="362">
    <w:name w:val="文字 Char Char Char"/>
    <w:basedOn w:val="1"/>
    <w:qFormat/>
    <w:uiPriority w:val="0"/>
    <w:pPr>
      <w:tabs>
        <w:tab w:val="left" w:pos="8520"/>
      </w:tabs>
      <w:spacing w:line="312" w:lineRule="auto"/>
      <w:ind w:right="-210" w:firstLine="556"/>
    </w:pPr>
    <w:rPr>
      <w:rFonts w:eastAsia="Calibri" w:cs="Droid Sans"/>
      <w:sz w:val="28"/>
    </w:rPr>
  </w:style>
  <w:style w:type="paragraph" w:customStyle="1" w:styleId="363">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364">
    <w:name w:val="aa"/>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65">
    <w:name w:val="彩色底纹 - 强调文字颜色 11"/>
    <w:qFormat/>
    <w:uiPriority w:val="0"/>
    <w:pPr>
      <w:spacing w:after="160" w:line="278" w:lineRule="auto"/>
    </w:pPr>
    <w:rPr>
      <w:rFonts w:ascii="Times New Roman" w:hAnsi="Times New Roman" w:eastAsia="宋体" w:cs="Times New Roman"/>
      <w:kern w:val="2"/>
      <w:sz w:val="21"/>
      <w:szCs w:val="24"/>
      <w:lang w:val="en-US" w:eastAsia="zh-CN" w:bidi="ar-SA"/>
    </w:rPr>
  </w:style>
  <w:style w:type="paragraph" w:customStyle="1" w:styleId="366">
    <w:name w:val="P标3"/>
    <w:basedOn w:val="6"/>
    <w:qFormat/>
    <w:uiPriority w:val="0"/>
    <w:pPr>
      <w:numPr>
        <w:ilvl w:val="0"/>
        <w:numId w:val="9"/>
      </w:numPr>
      <w:tabs>
        <w:tab w:val="left" w:pos="570"/>
      </w:tabs>
      <w:autoSpaceDE w:val="0"/>
      <w:autoSpaceDN w:val="0"/>
      <w:adjustRightInd w:val="0"/>
      <w:snapToGrid w:val="0"/>
      <w:spacing w:before="120" w:after="120" w:line="480" w:lineRule="atLeast"/>
    </w:pPr>
    <w:rPr>
      <w:rFonts w:cs="Droid Sans"/>
      <w:b w:val="0"/>
      <w:kern w:val="0"/>
      <w:sz w:val="24"/>
      <w:szCs w:val="20"/>
    </w:rPr>
  </w:style>
  <w:style w:type="paragraph" w:customStyle="1" w:styleId="36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368">
    <w:name w:val="样式 标题 9 +"/>
    <w:basedOn w:val="152"/>
    <w:qFormat/>
    <w:uiPriority w:val="0"/>
  </w:style>
  <w:style w:type="paragraph" w:customStyle="1" w:styleId="369">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paragraph" w:customStyle="1" w:styleId="370">
    <w:name w:val="彩色列表 - 着色 11"/>
    <w:basedOn w:val="1"/>
    <w:qFormat/>
    <w:uiPriority w:val="0"/>
    <w:pPr>
      <w:ind w:firstLine="420" w:firstLineChars="200"/>
    </w:pPr>
  </w:style>
  <w:style w:type="paragraph" w:customStyle="1" w:styleId="371">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72">
    <w:name w:val="编号，四号"/>
    <w:basedOn w:val="112"/>
    <w:qFormat/>
    <w:uiPriority w:val="0"/>
    <w:pPr>
      <w:numPr>
        <w:ilvl w:val="0"/>
        <w:numId w:val="17"/>
      </w:numPr>
    </w:pPr>
    <w:rPr>
      <w:rFonts w:ascii="Times New Roman" w:hAnsi="Times New Roman"/>
      <w:sz w:val="28"/>
    </w:rPr>
  </w:style>
  <w:style w:type="paragraph" w:customStyle="1" w:styleId="373">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74">
    <w:name w:val="Char Char2"/>
    <w:basedOn w:val="1"/>
    <w:qFormat/>
    <w:uiPriority w:val="0"/>
    <w:rPr>
      <w:rFonts w:ascii="Tahoma" w:hAnsi="Tahoma"/>
      <w:sz w:val="24"/>
    </w:rPr>
  </w:style>
  <w:style w:type="paragraph" w:customStyle="1" w:styleId="375">
    <w:name w:val="表格"/>
    <w:basedOn w:val="1"/>
    <w:qFormat/>
    <w:uiPriority w:val="0"/>
    <w:pPr>
      <w:snapToGrid w:val="0"/>
      <w:ind w:firstLine="42" w:firstLineChars="21"/>
    </w:pPr>
    <w:rPr>
      <w:rFonts w:ascii="宋体" w:hAnsi="宋体"/>
      <w:kern w:val="0"/>
      <w:sz w:val="20"/>
    </w:rPr>
  </w:style>
  <w:style w:type="paragraph" w:customStyle="1" w:styleId="376">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377">
    <w:name w:val="编号"/>
    <w:basedOn w:val="1"/>
    <w:qFormat/>
    <w:uiPriority w:val="0"/>
    <w:pPr>
      <w:ind w:left="736" w:hanging="312"/>
      <w:jc w:val="center"/>
      <w:textAlignment w:val="center"/>
    </w:pPr>
    <w:rPr>
      <w:rFonts w:ascii="楷体_GB2312" w:hAnsi="楷体_GB2312" w:cs="Droid Sans"/>
      <w:b/>
      <w:snapToGrid w:val="0"/>
      <w:kern w:val="0"/>
      <w:sz w:val="24"/>
    </w:rPr>
  </w:style>
  <w:style w:type="paragraph" w:customStyle="1" w:styleId="378">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380">
    <w:name w:val="Char Char Char1"/>
    <w:basedOn w:val="1"/>
    <w:qFormat/>
    <w:uiPriority w:val="0"/>
    <w:rPr>
      <w:rFonts w:ascii="Tahoma" w:hAnsi="Tahoma"/>
      <w:sz w:val="24"/>
    </w:rPr>
  </w:style>
  <w:style w:type="paragraph" w:customStyle="1" w:styleId="381">
    <w:name w:val="正文序号 1"/>
    <w:basedOn w:val="1"/>
    <w:qFormat/>
    <w:uiPriority w:val="0"/>
    <w:pPr>
      <w:tabs>
        <w:tab w:val="left" w:pos="744"/>
        <w:tab w:val="left" w:pos="839"/>
      </w:tabs>
      <w:spacing w:before="60"/>
      <w:ind w:left="744" w:hanging="744"/>
    </w:pPr>
    <w:rPr>
      <w:rFonts w:cs="Droid Sans"/>
      <w:sz w:val="18"/>
    </w:rPr>
  </w:style>
  <w:style w:type="paragraph" w:customStyle="1" w:styleId="382">
    <w:name w:val="GP无序编号"/>
    <w:basedOn w:val="383"/>
    <w:qFormat/>
    <w:uiPriority w:val="0"/>
    <w:pPr>
      <w:tabs>
        <w:tab w:val="left" w:pos="903"/>
        <w:tab w:val="left" w:pos="1140"/>
      </w:tabs>
      <w:ind w:left="1140" w:firstLine="0" w:firstLineChars="0"/>
      <w:jc w:val="left"/>
    </w:pPr>
    <w:rPr>
      <w:rFonts w:hAnsi="Times New Roman"/>
    </w:rPr>
  </w:style>
  <w:style w:type="paragraph" w:customStyle="1" w:styleId="383">
    <w:name w:val="GP正文(无首行缩进)"/>
    <w:basedOn w:val="175"/>
    <w:qFormat/>
    <w:uiPriority w:val="0"/>
    <w:pPr>
      <w:jc w:val="both"/>
    </w:pPr>
  </w:style>
  <w:style w:type="paragraph" w:customStyle="1" w:styleId="384">
    <w:name w:val="表格正文"/>
    <w:basedOn w:val="1"/>
    <w:qFormat/>
    <w:uiPriority w:val="0"/>
    <w:pPr>
      <w:ind w:right="45"/>
    </w:pPr>
    <w:rPr>
      <w:rFonts w:ascii="Arial" w:hAnsi="Arial" w:cs="Droid Sans"/>
      <w:sz w:val="24"/>
    </w:rPr>
  </w:style>
  <w:style w:type="paragraph" w:customStyle="1" w:styleId="385">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6">
    <w:name w:val="正文序号 3"/>
    <w:basedOn w:val="1"/>
    <w:qFormat/>
    <w:uiPriority w:val="0"/>
    <w:pPr>
      <w:numPr>
        <w:ilvl w:val="2"/>
        <w:numId w:val="13"/>
      </w:numPr>
      <w:tabs>
        <w:tab w:val="left" w:pos="744"/>
        <w:tab w:val="left" w:pos="1259"/>
      </w:tabs>
      <w:spacing w:before="60"/>
    </w:pPr>
    <w:rPr>
      <w:rFonts w:cs="Droid Sans"/>
      <w:sz w:val="18"/>
    </w:rPr>
  </w:style>
  <w:style w:type="paragraph" w:customStyle="1" w:styleId="387">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388">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89">
    <w:name w:val="TOC Heading1"/>
    <w:basedOn w:val="4"/>
    <w:next w:val="1"/>
    <w:qFormat/>
    <w:uiPriority w:val="0"/>
    <w:pPr>
      <w:widowControl/>
      <w:spacing w:before="480" w:after="0" w:line="276" w:lineRule="auto"/>
      <w:jc w:val="left"/>
      <w:outlineLvl w:val="9"/>
    </w:pPr>
    <w:rPr>
      <w:rFonts w:ascii="Cambria" w:hAnsi="Cambria" w:cs="Cambria"/>
      <w:color w:val="365F91"/>
      <w:kern w:val="0"/>
      <w:sz w:val="28"/>
      <w:szCs w:val="28"/>
      <w:u w:color="000000"/>
    </w:rPr>
  </w:style>
  <w:style w:type="paragraph" w:customStyle="1" w:styleId="390">
    <w:name w:val="lift"/>
    <w:basedOn w:val="1"/>
    <w:qFormat/>
    <w:uiPriority w:val="0"/>
    <w:pPr>
      <w:widowControl/>
      <w:spacing w:before="100" w:beforeAutospacing="1" w:after="100" w:afterAutospacing="1"/>
      <w:jc w:val="left"/>
    </w:pPr>
    <w:rPr>
      <w:rFonts w:ascii="ˎ̥" w:hAnsi="ˎ̥"/>
      <w:color w:val="000099"/>
      <w:kern w:val="0"/>
      <w:sz w:val="9"/>
    </w:rPr>
  </w:style>
  <w:style w:type="paragraph" w:customStyle="1" w:styleId="391">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9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394">
    <w:name w:val="pa-0"/>
    <w:basedOn w:val="1"/>
    <w:qFormat/>
    <w:uiPriority w:val="0"/>
    <w:pPr>
      <w:widowControl/>
      <w:spacing w:before="100" w:beforeAutospacing="1" w:after="100" w:afterAutospacing="1"/>
      <w:jc w:val="left"/>
    </w:pPr>
    <w:rPr>
      <w:rFonts w:ascii="宋体" w:hAnsi="宋体" w:cs="宋体"/>
      <w:kern w:val="0"/>
      <w:sz w:val="24"/>
    </w:rPr>
  </w:style>
  <w:style w:type="paragraph" w:customStyle="1" w:styleId="395">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396">
    <w:name w:val="Char Char Char1 Char Char Char Char"/>
    <w:basedOn w:val="1"/>
    <w:qFormat/>
    <w:uiPriority w:val="0"/>
    <w:pPr>
      <w:widowControl/>
      <w:snapToGrid w:val="0"/>
      <w:spacing w:line="300" w:lineRule="auto"/>
      <w:jc w:val="left"/>
    </w:pPr>
    <w:rPr>
      <w:rFonts w:ascii="仿宋_GB2312" w:hAnsi="Verdana" w:eastAsia="仿宋_GB2312"/>
      <w:b/>
      <w:kern w:val="0"/>
      <w:sz w:val="28"/>
      <w:szCs w:val="28"/>
      <w:lang w:eastAsia="en-US"/>
    </w:rPr>
  </w:style>
  <w:style w:type="paragraph" w:customStyle="1" w:styleId="397">
    <w:name w:val="_Style 191"/>
    <w:next w:val="1"/>
    <w:qFormat/>
    <w:uiPriority w:val="0"/>
    <w:pPr>
      <w:widowControl w:val="0"/>
      <w:spacing w:after="160" w:line="278" w:lineRule="auto"/>
      <w:jc w:val="both"/>
    </w:pPr>
    <w:rPr>
      <w:rFonts w:ascii="Times New Roman" w:hAnsi="Times New Roman" w:eastAsia="宋体" w:cs="Times New Roman"/>
      <w:kern w:val="2"/>
      <w:sz w:val="21"/>
      <w:lang w:val="en-US" w:eastAsia="zh-CN" w:bidi="ar-SA"/>
    </w:rPr>
  </w:style>
  <w:style w:type="paragraph" w:customStyle="1" w:styleId="398">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9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00">
    <w:name w:val="List Paragraph_9b970762-14a9-43ab-b627-ab24dd866b2c"/>
    <w:basedOn w:val="1"/>
    <w:qFormat/>
    <w:uiPriority w:val="0"/>
    <w:pPr>
      <w:ind w:firstLine="420" w:firstLineChars="200"/>
    </w:pPr>
    <w:rPr>
      <w:szCs w:val="22"/>
    </w:rPr>
  </w:style>
  <w:style w:type="paragraph" w:customStyle="1" w:styleId="40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402">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403">
    <w:name w:val="首行缩进"/>
    <w:basedOn w:val="1"/>
    <w:qFormat/>
    <w:uiPriority w:val="0"/>
    <w:pPr>
      <w:spacing w:line="360" w:lineRule="auto"/>
      <w:ind w:firstLine="420" w:firstLineChars="200"/>
    </w:pPr>
    <w:rPr>
      <w:rFonts w:ascii="宋体" w:hAnsi="宋体"/>
    </w:rPr>
  </w:style>
  <w:style w:type="paragraph" w:customStyle="1" w:styleId="404">
    <w:name w:val="m_title"/>
    <w:basedOn w:val="1"/>
    <w:qFormat/>
    <w:uiPriority w:val="0"/>
    <w:pPr>
      <w:widowControl/>
      <w:spacing w:before="100" w:beforeAutospacing="1" w:after="100" w:afterAutospacing="1"/>
      <w:jc w:val="left"/>
    </w:pPr>
    <w:rPr>
      <w:rFonts w:ascii="ˎ̥" w:hAnsi="ˎ̥"/>
      <w:color w:val="FFFFFF"/>
      <w:kern w:val="0"/>
      <w:sz w:val="18"/>
    </w:rPr>
  </w:style>
  <w:style w:type="paragraph" w:customStyle="1" w:styleId="405">
    <w:name w:val="Char4"/>
    <w:basedOn w:val="1"/>
    <w:qFormat/>
    <w:uiPriority w:val="0"/>
    <w:rPr>
      <w:rFonts w:ascii="Tahoma" w:hAnsi="Tahoma"/>
      <w:sz w:val="24"/>
    </w:rPr>
  </w:style>
  <w:style w:type="paragraph" w:customStyle="1" w:styleId="40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07">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08">
    <w:name w:val="Char Char11"/>
    <w:basedOn w:val="1"/>
    <w:qFormat/>
    <w:uiPriority w:val="0"/>
    <w:rPr>
      <w:rFonts w:ascii="Tahoma" w:hAnsi="Tahoma"/>
      <w:sz w:val="24"/>
    </w:rPr>
  </w:style>
  <w:style w:type="paragraph" w:customStyle="1" w:styleId="409">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410">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11">
    <w:name w:val="正文序号 4"/>
    <w:basedOn w:val="1"/>
    <w:qFormat/>
    <w:uiPriority w:val="0"/>
    <w:pPr>
      <w:numPr>
        <w:ilvl w:val="3"/>
        <w:numId w:val="13"/>
      </w:numPr>
      <w:tabs>
        <w:tab w:val="left" w:pos="744"/>
        <w:tab w:val="left" w:pos="1469"/>
      </w:tabs>
      <w:spacing w:before="60"/>
    </w:pPr>
    <w:rPr>
      <w:rFonts w:cs="Droid Sans"/>
      <w:sz w:val="18"/>
    </w:rPr>
  </w:style>
  <w:style w:type="paragraph" w:customStyle="1" w:styleId="412">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13">
    <w:name w:val="D标1"/>
    <w:basedOn w:val="4"/>
    <w:next w:val="1"/>
    <w:qFormat/>
    <w:uiPriority w:val="0"/>
    <w:pPr>
      <w:pageBreakBefore/>
      <w:widowControl/>
      <w:numPr>
        <w:ilvl w:val="0"/>
        <w:numId w:val="18"/>
      </w:numPr>
      <w:tabs>
        <w:tab w:val="left" w:pos="425"/>
      </w:tabs>
      <w:autoSpaceDE w:val="0"/>
      <w:autoSpaceDN w:val="0"/>
      <w:adjustRightInd w:val="0"/>
      <w:spacing w:before="360" w:after="240" w:line="315" w:lineRule="atLeast"/>
      <w:jc w:val="center"/>
    </w:pPr>
    <w:rPr>
      <w:rFonts w:ascii="Arial" w:hAnsi="Arial" w:eastAsia="Arial" w:cs="Droid Sans"/>
      <w:b w:val="0"/>
      <w:kern w:val="0"/>
      <w:sz w:val="36"/>
      <w:szCs w:val="20"/>
    </w:rPr>
  </w:style>
  <w:style w:type="paragraph" w:customStyle="1" w:styleId="414">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15">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416">
    <w:name w:val="Char Char Char Char Char Char Char Char Char Char Char Char2"/>
    <w:basedOn w:val="1"/>
    <w:qFormat/>
    <w:uiPriority w:val="0"/>
    <w:pPr>
      <w:spacing w:line="300" w:lineRule="auto"/>
    </w:pPr>
    <w:rPr>
      <w:rFonts w:ascii="宋体" w:hAnsi="宋体"/>
      <w:b/>
      <w:bCs/>
      <w:color w:val="000000"/>
      <w:spacing w:val="8"/>
      <w:kern w:val="0"/>
      <w:sz w:val="24"/>
    </w:rPr>
  </w:style>
  <w:style w:type="paragraph" w:customStyle="1" w:styleId="417">
    <w:name w:val="¤º¤å"/>
    <w:qFormat/>
    <w:uiPriority w:val="0"/>
    <w:pPr>
      <w:widowControl w:val="0"/>
      <w:overflowPunct w:val="0"/>
      <w:autoSpaceDE w:val="0"/>
      <w:autoSpaceDN w:val="0"/>
      <w:adjustRightInd w:val="0"/>
      <w:spacing w:after="160" w:line="360" w:lineRule="atLeast"/>
      <w:textAlignment w:val="baseline"/>
    </w:pPr>
    <w:rPr>
      <w:rFonts w:ascii="Wingdings" w:hAnsi="Wingdings" w:eastAsia="Arial Unicode MS" w:cs="Droid Sans"/>
      <w:sz w:val="24"/>
      <w:lang w:val="en-US" w:eastAsia="zh-TW" w:bidi="ar-SA"/>
    </w:rPr>
  </w:style>
  <w:style w:type="paragraph" w:customStyle="1" w:styleId="418">
    <w:name w:val="样式5"/>
    <w:basedOn w:val="1"/>
    <w:next w:val="1"/>
    <w:qFormat/>
    <w:uiPriority w:val="0"/>
    <w:pPr>
      <w:keepNext/>
      <w:keepLines/>
      <w:numPr>
        <w:ilvl w:val="0"/>
        <w:numId w:val="19"/>
      </w:numPr>
      <w:spacing w:before="340" w:after="330" w:line="578" w:lineRule="auto"/>
      <w:jc w:val="center"/>
      <w:outlineLvl w:val="0"/>
    </w:pPr>
    <w:rPr>
      <w:rFonts w:hint="eastAsia"/>
      <w:b/>
      <w:bCs/>
      <w:kern w:val="44"/>
      <w:sz w:val="30"/>
      <w:szCs w:val="44"/>
    </w:rPr>
  </w:style>
  <w:style w:type="paragraph" w:customStyle="1" w:styleId="419">
    <w:name w:val="样式6"/>
    <w:basedOn w:val="1"/>
    <w:next w:val="1"/>
    <w:qFormat/>
    <w:uiPriority w:val="0"/>
    <w:pPr>
      <w:keepNext/>
      <w:keepLines/>
      <w:spacing w:before="340" w:after="330" w:line="578" w:lineRule="auto"/>
      <w:outlineLvl w:val="0"/>
    </w:pPr>
    <w:rPr>
      <w:rFonts w:hint="eastAsia"/>
      <w:b/>
      <w:bCs/>
      <w:kern w:val="44"/>
      <w:sz w:val="32"/>
      <w:szCs w:val="44"/>
    </w:rPr>
  </w:style>
  <w:style w:type="paragraph" w:customStyle="1" w:styleId="420">
    <w:name w:val="样式7"/>
    <w:basedOn w:val="1"/>
    <w:next w:val="1"/>
    <w:qFormat/>
    <w:uiPriority w:val="0"/>
    <w:pPr>
      <w:keepNext/>
      <w:keepLines/>
      <w:spacing w:before="340" w:after="330" w:line="360" w:lineRule="auto"/>
      <w:outlineLvl w:val="0"/>
    </w:pPr>
    <w:rPr>
      <w:rFonts w:hint="eastAsia"/>
      <w:b/>
      <w:bCs/>
      <w:kern w:val="44"/>
      <w:sz w:val="30"/>
      <w:szCs w:val="44"/>
    </w:rPr>
  </w:style>
  <w:style w:type="paragraph" w:customStyle="1" w:styleId="421">
    <w:name w:val="样式8"/>
    <w:basedOn w:val="1"/>
    <w:next w:val="1"/>
    <w:qFormat/>
    <w:uiPriority w:val="0"/>
    <w:pPr>
      <w:keepNext/>
      <w:keepLines/>
      <w:spacing w:before="340" w:after="330" w:line="578" w:lineRule="auto"/>
      <w:jc w:val="center"/>
      <w:outlineLvl w:val="0"/>
    </w:pPr>
    <w:rPr>
      <w:rFonts w:hint="eastAsia"/>
      <w:b/>
      <w:bCs/>
      <w:kern w:val="44"/>
      <w:sz w:val="32"/>
      <w:szCs w:val="44"/>
    </w:rPr>
  </w:style>
  <w:style w:type="paragraph" w:customStyle="1" w:styleId="422">
    <w:name w:val="样式11"/>
    <w:basedOn w:val="1"/>
    <w:next w:val="1"/>
    <w:qFormat/>
    <w:uiPriority w:val="0"/>
    <w:pPr>
      <w:keepNext/>
      <w:keepLines/>
      <w:spacing w:before="340" w:after="330" w:line="578" w:lineRule="auto"/>
      <w:jc w:val="center"/>
      <w:outlineLvl w:val="0"/>
    </w:pPr>
    <w:rPr>
      <w:rFonts w:hint="eastAsia"/>
      <w:b/>
      <w:bCs/>
      <w:kern w:val="44"/>
      <w:sz w:val="32"/>
      <w:szCs w:val="44"/>
    </w:rPr>
  </w:style>
  <w:style w:type="paragraph" w:customStyle="1" w:styleId="423">
    <w:name w:val="样式12"/>
    <w:basedOn w:val="1"/>
    <w:next w:val="1"/>
    <w:qFormat/>
    <w:uiPriority w:val="0"/>
    <w:pPr>
      <w:keepNext/>
      <w:keepLines/>
      <w:spacing w:before="340" w:after="330" w:line="578" w:lineRule="auto"/>
      <w:jc w:val="center"/>
      <w:outlineLvl w:val="0"/>
    </w:pPr>
    <w:rPr>
      <w:rFonts w:hint="eastAsia"/>
      <w:b/>
      <w:bCs/>
      <w:kern w:val="44"/>
      <w:sz w:val="32"/>
      <w:szCs w:val="44"/>
    </w:rPr>
  </w:style>
  <w:style w:type="paragraph" w:customStyle="1" w:styleId="424">
    <w:name w:val="样式13"/>
    <w:basedOn w:val="1"/>
    <w:next w:val="1"/>
    <w:qFormat/>
    <w:uiPriority w:val="0"/>
    <w:pPr>
      <w:keepNext/>
      <w:keepLines/>
      <w:spacing w:before="260" w:after="260" w:line="413" w:lineRule="auto"/>
      <w:outlineLvl w:val="1"/>
    </w:pPr>
    <w:rPr>
      <w:rFonts w:hint="eastAsia" w:ascii="Arial" w:hAnsi="Arial"/>
      <w:b/>
      <w:sz w:val="28"/>
    </w:rPr>
  </w:style>
  <w:style w:type="paragraph" w:customStyle="1" w:styleId="425">
    <w:name w:val="样式14"/>
    <w:basedOn w:val="1"/>
    <w:next w:val="1"/>
    <w:qFormat/>
    <w:uiPriority w:val="0"/>
    <w:pPr>
      <w:keepNext/>
      <w:keepLines/>
      <w:spacing w:before="260" w:after="260" w:line="413" w:lineRule="auto"/>
      <w:outlineLvl w:val="1"/>
    </w:pPr>
    <w:rPr>
      <w:rFonts w:hint="eastAsia" w:ascii="Arial" w:hAnsi="Arial"/>
      <w:b/>
      <w:sz w:val="28"/>
    </w:rPr>
  </w:style>
  <w:style w:type="character" w:customStyle="1" w:styleId="426">
    <w:name w:val="标题 1 字符"/>
    <w:link w:val="4"/>
    <w:semiHidden/>
    <w:qFormat/>
    <w:uiPriority w:val="0"/>
    <w:rPr>
      <w:b/>
      <w:kern w:val="44"/>
      <w:sz w:val="44"/>
    </w:rPr>
  </w:style>
  <w:style w:type="character" w:customStyle="1" w:styleId="427">
    <w:name w:val="标题 2 字符"/>
    <w:link w:val="5"/>
    <w:semiHidden/>
    <w:qFormat/>
    <w:uiPriority w:val="0"/>
    <w:rPr>
      <w:rFonts w:ascii="Arial" w:hAnsi="Arial" w:eastAsia="黑体"/>
      <w:b/>
      <w:sz w:val="32"/>
    </w:rPr>
  </w:style>
  <w:style w:type="character" w:customStyle="1" w:styleId="428">
    <w:name w:val="标题 4 字符"/>
    <w:link w:val="7"/>
    <w:semiHidden/>
    <w:qFormat/>
    <w:uiPriority w:val="0"/>
    <w:rPr>
      <w:rFonts w:ascii="Arial" w:hAnsi="Arial" w:eastAsia="黑体"/>
      <w:b/>
      <w:sz w:val="28"/>
    </w:rPr>
  </w:style>
  <w:style w:type="character" w:customStyle="1" w:styleId="429">
    <w:name w:val="标题 5 字符"/>
    <w:link w:val="8"/>
    <w:semiHidden/>
    <w:qFormat/>
    <w:uiPriority w:val="0"/>
    <w:rPr>
      <w:b/>
      <w:sz w:val="28"/>
    </w:rPr>
  </w:style>
  <w:style w:type="character" w:customStyle="1" w:styleId="430">
    <w:name w:val="标题 6 字符"/>
    <w:link w:val="9"/>
    <w:semiHidden/>
    <w:qFormat/>
    <w:uiPriority w:val="0"/>
    <w:rPr>
      <w:rFonts w:ascii="Arial" w:hAnsi="Arial" w:eastAsia="黑体"/>
      <w:b/>
      <w:sz w:val="24"/>
    </w:rPr>
  </w:style>
  <w:style w:type="character" w:customStyle="1" w:styleId="431">
    <w:name w:val="标题 7 字符"/>
    <w:link w:val="10"/>
    <w:semiHidden/>
    <w:qFormat/>
    <w:uiPriority w:val="0"/>
    <w:rPr>
      <w:b/>
      <w:sz w:val="24"/>
    </w:rPr>
  </w:style>
  <w:style w:type="character" w:customStyle="1" w:styleId="432">
    <w:name w:val="标题 8 字符"/>
    <w:link w:val="11"/>
    <w:semiHidden/>
    <w:qFormat/>
    <w:uiPriority w:val="0"/>
    <w:rPr>
      <w:rFonts w:ascii="Arial" w:hAnsi="Arial" w:eastAsia="黑体"/>
      <w:sz w:val="24"/>
    </w:rPr>
  </w:style>
  <w:style w:type="character" w:customStyle="1" w:styleId="433">
    <w:name w:val="标题 9 字符"/>
    <w:link w:val="12"/>
    <w:semiHidden/>
    <w:qFormat/>
    <w:uiPriority w:val="0"/>
    <w:rPr>
      <w:rFonts w:ascii="Arial" w:hAnsi="Arial" w:eastAsia="黑体"/>
      <w:sz w:val="21"/>
    </w:rPr>
  </w:style>
  <w:style w:type="character" w:customStyle="1" w:styleId="434">
    <w:name w:val="正文文本首行缩进 字符"/>
    <w:link w:val="73"/>
    <w:semiHidden/>
    <w:qFormat/>
    <w:uiPriority w:val="0"/>
    <w:rPr>
      <w:rFonts w:ascii="宋体" w:hAnsi="宋体"/>
      <w:kern w:val="2"/>
      <w:sz w:val="21"/>
      <w:szCs w:val="24"/>
    </w:rPr>
  </w:style>
  <w:style w:type="character" w:customStyle="1" w:styleId="435">
    <w:name w:val="题注 字符"/>
    <w:link w:val="14"/>
    <w:semiHidden/>
    <w:qFormat/>
    <w:uiPriority w:val="0"/>
    <w:rPr>
      <w:rFonts w:ascii="Arial" w:hAnsi="Arial" w:eastAsia="黑体"/>
      <w:sz w:val="20"/>
    </w:rPr>
  </w:style>
  <w:style w:type="character" w:customStyle="1" w:styleId="436">
    <w:name w:val="批注文字 字符"/>
    <w:link w:val="16"/>
    <w:semiHidden/>
    <w:qFormat/>
    <w:uiPriority w:val="0"/>
  </w:style>
  <w:style w:type="character" w:customStyle="1" w:styleId="437">
    <w:name w:val="正文文本缩进 字符"/>
    <w:link w:val="71"/>
    <w:semiHidden/>
    <w:qFormat/>
    <w:uiPriority w:val="0"/>
    <w:rPr>
      <w:kern w:val="2"/>
      <w:sz w:val="21"/>
      <w:szCs w:val="24"/>
    </w:rPr>
  </w:style>
  <w:style w:type="character" w:customStyle="1" w:styleId="438">
    <w:name w:val="TOC 3 字符"/>
    <w:link w:val="23"/>
    <w:semiHidden/>
    <w:qFormat/>
    <w:uiPriority w:val="0"/>
  </w:style>
  <w:style w:type="character" w:customStyle="1" w:styleId="439">
    <w:name w:val="纯文本 字符"/>
    <w:link w:val="72"/>
    <w:semiHidden/>
    <w:qFormat/>
    <w:uiPriority w:val="0"/>
    <w:rPr>
      <w:rFonts w:ascii="宋体" w:hAnsi="Courier New" w:eastAsia="宋体" w:cs="Courier New"/>
      <w:sz w:val="21"/>
      <w:szCs w:val="21"/>
    </w:rPr>
  </w:style>
  <w:style w:type="character" w:customStyle="1" w:styleId="440">
    <w:name w:val="正文文本首行缩进 2 字符"/>
    <w:link w:val="74"/>
    <w:semiHidden/>
    <w:qFormat/>
    <w:uiPriority w:val="0"/>
    <w:rPr>
      <w:rFonts w:ascii="等线" w:hAnsi="等线" w:eastAsia="等线"/>
      <w:kern w:val="2"/>
      <w:sz w:val="21"/>
      <w:szCs w:val="24"/>
    </w:rPr>
  </w:style>
  <w:style w:type="character" w:customStyle="1" w:styleId="441">
    <w:name w:val="副标题 字符"/>
    <w:link w:val="29"/>
    <w:semiHidden/>
    <w:qFormat/>
    <w:uiPriority w:val="0"/>
    <w:rPr>
      <w:rFonts w:ascii="Arial" w:hAnsi="Arial"/>
      <w:b/>
      <w:kern w:val="28"/>
      <w:sz w:val="32"/>
    </w:rPr>
  </w:style>
  <w:style w:type="character" w:customStyle="1" w:styleId="442">
    <w:name w:val="脚注文本 字符"/>
    <w:link w:val="30"/>
    <w:semiHidden/>
    <w:qFormat/>
    <w:uiPriority w:val="0"/>
    <w:rPr>
      <w:sz w:val="18"/>
    </w:rPr>
  </w:style>
  <w:style w:type="character" w:customStyle="1" w:styleId="443">
    <w:name w:val="标题 字符"/>
    <w:link w:val="34"/>
    <w:semiHidden/>
    <w:qFormat/>
    <w:uiPriority w:val="0"/>
    <w:rPr>
      <w:rFonts w:ascii="Arial" w:hAnsi="Arial"/>
      <w:b/>
      <w:sz w:val="32"/>
    </w:rPr>
  </w:style>
  <w:style w:type="character" w:customStyle="1" w:styleId="444">
    <w:name w:val="Normal Indent Char Char"/>
    <w:link w:val="75"/>
    <w:semiHidden/>
    <w:qFormat/>
    <w:uiPriority w:val="0"/>
    <w:rPr>
      <w:rFonts w:ascii="Times New Roman" w:hAnsi="Times New Roman" w:eastAsia="宋体"/>
      <w:sz w:val="20"/>
    </w:rPr>
  </w:style>
  <w:style w:type="character" w:customStyle="1" w:styleId="445">
    <w:name w:val="页码1"/>
    <w:basedOn w:val="36"/>
    <w:qFormat/>
    <w:uiPriority w:val="0"/>
  </w:style>
  <w:style w:type="character" w:customStyle="1" w:styleId="446">
    <w:name w:val="Plain Text Char Char"/>
    <w:qFormat/>
    <w:uiPriority w:val="0"/>
    <w:rPr>
      <w:rFonts w:ascii="宋体" w:hAnsi="Courier New" w:eastAsia="宋体" w:cs="宋体"/>
      <w:kern w:val="0"/>
      <w:sz w:val="20"/>
      <w:szCs w:val="20"/>
    </w:rPr>
  </w:style>
  <w:style w:type="character" w:customStyle="1" w:styleId="447">
    <w:name w:val="批注框文本 Char Char Char Char"/>
    <w:qFormat/>
    <w:uiPriority w:val="0"/>
    <w:rPr>
      <w:kern w:val="2"/>
      <w:sz w:val="18"/>
      <w:szCs w:val="18"/>
    </w:rPr>
  </w:style>
  <w:style w:type="character" w:customStyle="1" w:styleId="448">
    <w:name w:val="批注引用1"/>
    <w:qFormat/>
    <w:uiPriority w:val="0"/>
    <w:rPr>
      <w:sz w:val="21"/>
    </w:rPr>
  </w:style>
  <w:style w:type="character" w:customStyle="1" w:styleId="449">
    <w:name w:val="纯文本 Char4"/>
    <w:link w:val="81"/>
    <w:semiHidden/>
    <w:qFormat/>
    <w:uiPriority w:val="0"/>
    <w:rPr>
      <w:rFonts w:ascii="宋体" w:hAnsi="Courier New"/>
      <w:kern w:val="2"/>
      <w:sz w:val="21"/>
    </w:rPr>
  </w:style>
  <w:style w:type="character" w:customStyle="1" w:styleId="450">
    <w:name w:val="标题 3 字符"/>
    <w:link w:val="6"/>
    <w:semiHidden/>
    <w:qFormat/>
    <w:uiPriority w:val="0"/>
    <w:rPr>
      <w:b/>
      <w:sz w:val="32"/>
    </w:rPr>
  </w:style>
  <w:style w:type="character" w:customStyle="1" w:styleId="451">
    <w:name w:val="正文文本 字符"/>
    <w:link w:val="18"/>
    <w:semiHidden/>
    <w:qFormat/>
    <w:uiPriority w:val="0"/>
  </w:style>
  <w:style w:type="character" w:customStyle="1" w:styleId="452">
    <w:name w:val="Default Char Char"/>
    <w:link w:val="19"/>
    <w:semiHidden/>
    <w:qFormat/>
    <w:uiPriority w:val="0"/>
    <w:rPr>
      <w:rFonts w:ascii="宋体" w:cs="宋体"/>
      <w:color w:val="000000"/>
      <w:sz w:val="24"/>
      <w:szCs w:val="24"/>
      <w:lang w:val="en-US" w:eastAsia="zh-CN" w:bidi="ar-SA"/>
    </w:rPr>
  </w:style>
  <w:style w:type="character" w:customStyle="1" w:styleId="453">
    <w:name w:val="正文文本缩进 Char3"/>
    <w:link w:val="76"/>
    <w:semiHidden/>
    <w:qFormat/>
    <w:uiPriority w:val="0"/>
    <w:rPr>
      <w:rFonts w:ascii="楷体_GB2312" w:eastAsia="楷体_GB2312"/>
      <w:kern w:val="2"/>
      <w:sz w:val="32"/>
    </w:rPr>
  </w:style>
  <w:style w:type="character" w:customStyle="1" w:styleId="454">
    <w:name w:val="批注框文本 Char4"/>
    <w:link w:val="82"/>
    <w:semiHidden/>
    <w:qFormat/>
    <w:uiPriority w:val="0"/>
    <w:rPr>
      <w:kern w:val="2"/>
      <w:sz w:val="18"/>
      <w:szCs w:val="18"/>
    </w:rPr>
  </w:style>
  <w:style w:type="character" w:customStyle="1" w:styleId="455">
    <w:name w:val="页脚 字符"/>
    <w:link w:val="25"/>
    <w:semiHidden/>
    <w:qFormat/>
    <w:uiPriority w:val="0"/>
    <w:rPr>
      <w:sz w:val="18"/>
    </w:rPr>
  </w:style>
  <w:style w:type="character" w:customStyle="1" w:styleId="456">
    <w:name w:val="页眉 字符"/>
    <w:link w:val="26"/>
    <w:semiHidden/>
    <w:qFormat/>
    <w:uiPriority w:val="0"/>
    <w:rPr>
      <w:sz w:val="18"/>
    </w:rPr>
  </w:style>
  <w:style w:type="character" w:customStyle="1" w:styleId="457">
    <w:name w:val="正文首行缩进 Char2"/>
    <w:link w:val="79"/>
    <w:semiHidden/>
    <w:qFormat/>
    <w:uiPriority w:val="0"/>
    <w:rPr>
      <w:rFonts w:ascii="Arial" w:hAnsi="Arial" w:eastAsia="仿宋_GB2312" w:cs="Arial"/>
      <w:sz w:val="24"/>
      <w:szCs w:val="32"/>
    </w:rPr>
  </w:style>
  <w:style w:type="character" w:customStyle="1" w:styleId="458">
    <w:name w:val="正文首行缩进 2 Char2"/>
    <w:link w:val="80"/>
    <w:semiHidden/>
    <w:qFormat/>
    <w:uiPriority w:val="0"/>
  </w:style>
  <w:style w:type="character" w:customStyle="1" w:styleId="459">
    <w:name w:val="blue1"/>
    <w:qFormat/>
    <w:uiPriority w:val="0"/>
    <w:rPr>
      <w:color w:val="06487A"/>
      <w:sz w:val="19"/>
      <w:szCs w:val="19"/>
    </w:rPr>
  </w:style>
  <w:style w:type="character" w:customStyle="1" w:styleId="460">
    <w:name w:val="明显引用 Char2"/>
    <w:qFormat/>
    <w:uiPriority w:val="0"/>
    <w:rPr>
      <w:b/>
      <w:bCs/>
      <w:i/>
      <w:iCs/>
      <w:color w:val="4F81BD"/>
      <w:kern w:val="2"/>
      <w:sz w:val="21"/>
      <w:szCs w:val="24"/>
    </w:rPr>
  </w:style>
  <w:style w:type="character" w:customStyle="1" w:styleId="461">
    <w:name w:val="style231"/>
    <w:qFormat/>
    <w:uiPriority w:val="0"/>
    <w:rPr>
      <w:b/>
      <w:bCs/>
      <w:color w:val="FF0000"/>
      <w:sz w:val="16"/>
      <w:szCs w:val="16"/>
    </w:rPr>
  </w:style>
  <w:style w:type="character" w:customStyle="1" w:styleId="462">
    <w:name w:val="Heading 2 Char"/>
    <w:qFormat/>
    <w:uiPriority w:val="0"/>
    <w:rPr>
      <w:rFonts w:ascii="Cambria" w:hAnsi="Cambria" w:eastAsia="宋体" w:cs="Times New Roman"/>
      <w:b/>
      <w:bCs/>
      <w:sz w:val="32"/>
      <w:szCs w:val="32"/>
    </w:rPr>
  </w:style>
  <w:style w:type="character" w:customStyle="1" w:styleId="463">
    <w:name w:val="op-map-singlepoint-info-right1"/>
    <w:qFormat/>
    <w:uiPriority w:val="0"/>
  </w:style>
  <w:style w:type="character" w:customStyle="1" w:styleId="464">
    <w:name w:val="Table Text Char1"/>
    <w:link w:val="104"/>
    <w:semiHidden/>
    <w:qFormat/>
    <w:uiPriority w:val="0"/>
    <w:rPr>
      <w:rFonts w:ascii="Arial" w:hAnsi="Arial"/>
      <w:kern w:val="2"/>
      <w:sz w:val="18"/>
      <w:szCs w:val="18"/>
      <w:lang w:val="en-US" w:eastAsia="zh-CN" w:bidi="ar-SA"/>
    </w:rPr>
  </w:style>
  <w:style w:type="character" w:customStyle="1" w:styleId="465">
    <w:name w:val="Title Char1"/>
    <w:qFormat/>
    <w:uiPriority w:val="0"/>
    <w:rPr>
      <w:rFonts w:ascii="Cambria" w:hAnsi="Cambria" w:cs="Times New Roman"/>
      <w:b/>
      <w:bCs/>
      <w:sz w:val="32"/>
      <w:szCs w:val="32"/>
    </w:rPr>
  </w:style>
  <w:style w:type="character" w:customStyle="1" w:styleId="466">
    <w:name w:val="para"/>
    <w:qFormat/>
    <w:uiPriority w:val="0"/>
  </w:style>
  <w:style w:type="character" w:customStyle="1" w:styleId="467">
    <w:name w:val="正文文本 Char2"/>
    <w:qFormat/>
    <w:uiPriority w:val="0"/>
    <w:rPr>
      <w:kern w:val="2"/>
      <w:sz w:val="21"/>
      <w:szCs w:val="24"/>
    </w:rPr>
  </w:style>
  <w:style w:type="character" w:customStyle="1" w:styleId="468">
    <w:name w:val="正文文本 Char3"/>
    <w:qFormat/>
    <w:uiPriority w:val="0"/>
    <w:rPr>
      <w:kern w:val="2"/>
      <w:sz w:val="21"/>
    </w:rPr>
  </w:style>
  <w:style w:type="character" w:customStyle="1" w:styleId="469">
    <w:name w:val="副标题 Char3"/>
    <w:qFormat/>
    <w:uiPriority w:val="0"/>
    <w:rPr>
      <w:rFonts w:ascii="Cambria" w:hAnsi="Cambria" w:cs="Times New Roman"/>
      <w:b/>
      <w:bCs/>
      <w:kern w:val="28"/>
      <w:sz w:val="32"/>
      <w:szCs w:val="32"/>
    </w:rPr>
  </w:style>
  <w:style w:type="character" w:customStyle="1" w:styleId="470">
    <w:name w:val="正文文本缩进 Char2"/>
    <w:qFormat/>
    <w:uiPriority w:val="0"/>
    <w:rPr>
      <w:kern w:val="2"/>
      <w:sz w:val="21"/>
      <w:szCs w:val="24"/>
    </w:rPr>
  </w:style>
  <w:style w:type="character" w:customStyle="1" w:styleId="471">
    <w:name w:val="_Style 131"/>
    <w:qFormat/>
    <w:uiPriority w:val="0"/>
    <w:rPr>
      <w:b/>
      <w:bCs/>
      <w:smallCaps/>
      <w:spacing w:val="5"/>
    </w:rPr>
  </w:style>
  <w:style w:type="character" w:customStyle="1" w:styleId="472">
    <w:name w:val="Comment Subject Char"/>
    <w:qFormat/>
    <w:uiPriority w:val="0"/>
    <w:rPr>
      <w:rFonts w:ascii="宋体" w:hAnsi="Times New Roman"/>
      <w:b/>
      <w:sz w:val="28"/>
    </w:rPr>
  </w:style>
  <w:style w:type="character" w:customStyle="1" w:styleId="473">
    <w:name w:val="s011"/>
    <w:qFormat/>
    <w:uiPriority w:val="0"/>
    <w:rPr>
      <w:rFonts w:hint="eastAsia" w:ascii="宋体" w:hAnsi="宋体" w:eastAsia="宋体"/>
      <w:color w:val="000000"/>
      <w:sz w:val="20"/>
      <w:szCs w:val="20"/>
      <w:u w:val="none"/>
    </w:rPr>
  </w:style>
  <w:style w:type="character" w:customStyle="1" w:styleId="474">
    <w:name w:val="批注框文本 Char1"/>
    <w:qFormat/>
    <w:uiPriority w:val="0"/>
    <w:rPr>
      <w:kern w:val="2"/>
      <w:sz w:val="18"/>
      <w:szCs w:val="18"/>
    </w:rPr>
  </w:style>
  <w:style w:type="character" w:customStyle="1" w:styleId="475">
    <w:name w:val="HTML 预设格式 Char1"/>
    <w:qFormat/>
    <w:uiPriority w:val="0"/>
    <w:rPr>
      <w:rFonts w:ascii="Courier New" w:hAnsi="Courier New" w:cs="Courier New"/>
      <w:kern w:val="2"/>
    </w:rPr>
  </w:style>
  <w:style w:type="character" w:customStyle="1" w:styleId="476">
    <w:name w:val="列出段落 Char"/>
    <w:qFormat/>
    <w:uiPriority w:val="0"/>
    <w:rPr>
      <w:rFonts w:ascii="Calibri" w:hAnsi="Calibri"/>
      <w:sz w:val="22"/>
      <w:szCs w:val="22"/>
    </w:rPr>
  </w:style>
  <w:style w:type="character" w:customStyle="1" w:styleId="477">
    <w:name w:val="shouchang1"/>
    <w:qFormat/>
    <w:uiPriority w:val="0"/>
    <w:rPr>
      <w:color w:val="000000"/>
      <w:sz w:val="11"/>
      <w:szCs w:val="11"/>
      <w:u w:val="none"/>
    </w:rPr>
  </w:style>
  <w:style w:type="character" w:customStyle="1" w:styleId="478">
    <w:name w:val="普通文字 Char Char Char"/>
    <w:qFormat/>
    <w:uiPriority w:val="0"/>
    <w:rPr>
      <w:rFonts w:ascii="宋体" w:hAnsi="Courier New" w:eastAsia="宋体" w:cs="Courier New"/>
      <w:kern w:val="2"/>
      <w:sz w:val="21"/>
      <w:szCs w:val="21"/>
      <w:lang w:val="en-US" w:eastAsia="zh-CN" w:bidi="ar-SA"/>
    </w:rPr>
  </w:style>
  <w:style w:type="character" w:customStyle="1" w:styleId="479">
    <w:name w:val="Quote Char1"/>
    <w:qFormat/>
    <w:uiPriority w:val="0"/>
    <w:rPr>
      <w:rFonts w:cs="Times New Roman"/>
      <w:i/>
      <w:iCs/>
      <w:color w:val="000000"/>
    </w:rPr>
  </w:style>
  <w:style w:type="character" w:customStyle="1" w:styleId="480">
    <w:name w:val="标题4 Char Char"/>
    <w:link w:val="127"/>
    <w:semiHidden/>
    <w:qFormat/>
    <w:uiPriority w:val="0"/>
    <w:rPr>
      <w:rFonts w:ascii="Arial" w:hAnsi="Arial"/>
      <w:b/>
      <w:bCs/>
      <w:sz w:val="24"/>
      <w:szCs w:val="32"/>
    </w:rPr>
  </w:style>
  <w:style w:type="character" w:customStyle="1" w:styleId="481">
    <w:name w:val="纯文本 Char2"/>
    <w:qFormat/>
    <w:uiPriority w:val="0"/>
    <w:rPr>
      <w:rFonts w:ascii="宋体" w:hAnsi="Courier New" w:cs="Courier New"/>
      <w:kern w:val="2"/>
      <w:sz w:val="21"/>
      <w:szCs w:val="21"/>
    </w:rPr>
  </w:style>
  <w:style w:type="character" w:customStyle="1" w:styleId="482">
    <w:name w:val="font1"/>
    <w:qFormat/>
    <w:uiPriority w:val="0"/>
    <w:rPr>
      <w:sz w:val="18"/>
      <w:szCs w:val="18"/>
    </w:rPr>
  </w:style>
  <w:style w:type="character" w:customStyle="1" w:styleId="483">
    <w:name w:val="标题1级 Char Char"/>
    <w:link w:val="105"/>
    <w:semiHidden/>
    <w:qFormat/>
    <w:uiPriority w:val="0"/>
    <w:rPr>
      <w:rFonts w:ascii="Arial" w:hAnsi="Arial" w:eastAsia="宋体" w:cs="宋体"/>
      <w:b/>
      <w:kern w:val="2"/>
      <w:sz w:val="30"/>
      <w:szCs w:val="30"/>
    </w:rPr>
  </w:style>
  <w:style w:type="character" w:customStyle="1" w:styleId="484">
    <w:name w:val="批注文字 Char Char"/>
    <w:qFormat/>
    <w:uiPriority w:val="0"/>
    <w:rPr>
      <w:rFonts w:ascii="宋体" w:hAnsi="Times New Roman" w:eastAsia="宋体" w:cs="Times New Roman"/>
      <w:sz w:val="28"/>
      <w:szCs w:val="20"/>
    </w:rPr>
  </w:style>
  <w:style w:type="character" w:customStyle="1" w:styleId="485">
    <w:name w:val="Char Char3"/>
    <w:qFormat/>
    <w:uiPriority w:val="0"/>
    <w:rPr>
      <w:rFonts w:ascii="宋体" w:hAnsi="Courier New" w:eastAsia="幼圆"/>
      <w:kern w:val="2"/>
      <w:sz w:val="21"/>
    </w:rPr>
  </w:style>
  <w:style w:type="character" w:customStyle="1" w:styleId="486">
    <w:name w:val="批注框文本 Char2"/>
    <w:qFormat/>
    <w:uiPriority w:val="0"/>
    <w:rPr>
      <w:kern w:val="2"/>
      <w:sz w:val="18"/>
      <w:szCs w:val="18"/>
    </w:rPr>
  </w:style>
  <w:style w:type="character" w:customStyle="1" w:styleId="487">
    <w:name w:val="huei12b1"/>
    <w:qFormat/>
    <w:uiPriority w:val="0"/>
    <w:rPr>
      <w:b/>
      <w:bCs/>
      <w:color w:val="333333"/>
      <w:sz w:val="18"/>
      <w:szCs w:val="18"/>
    </w:rPr>
  </w:style>
  <w:style w:type="character" w:customStyle="1" w:styleId="488">
    <w:name w:val="纯文本 Char3"/>
    <w:qFormat/>
    <w:uiPriority w:val="0"/>
    <w:rPr>
      <w:rFonts w:ascii="宋体" w:hAnsi="Courier New" w:cs="Courier New"/>
      <w:kern w:val="2"/>
      <w:sz w:val="21"/>
      <w:szCs w:val="21"/>
    </w:rPr>
  </w:style>
  <w:style w:type="character" w:customStyle="1" w:styleId="489">
    <w:name w:val="标题 2 Char Char Char Char"/>
    <w:qFormat/>
    <w:uiPriority w:val="0"/>
    <w:rPr>
      <w:rFonts w:ascii="Arial" w:hAnsi="Arial" w:eastAsia="黑体"/>
      <w:b/>
      <w:bCs/>
      <w:kern w:val="2"/>
      <w:sz w:val="32"/>
      <w:szCs w:val="32"/>
      <w:lang w:val="en-US" w:eastAsia="zh-CN" w:bidi="ar-SA"/>
    </w:rPr>
  </w:style>
  <w:style w:type="character" w:customStyle="1" w:styleId="490">
    <w:name w:val="hei16b1"/>
    <w:qFormat/>
    <w:uiPriority w:val="0"/>
    <w:rPr>
      <w:rFonts w:hint="default" w:ascii="Arial" w:hAnsi="Arial" w:cs="Arial"/>
      <w:b/>
      <w:bCs/>
      <w:color w:val="000000"/>
      <w:sz w:val="23"/>
      <w:szCs w:val="23"/>
    </w:rPr>
  </w:style>
  <w:style w:type="character" w:customStyle="1" w:styleId="491">
    <w:name w:val="4级标题 Char Char"/>
    <w:link w:val="107"/>
    <w:semiHidden/>
    <w:qFormat/>
    <w:uiPriority w:val="0"/>
  </w:style>
  <w:style w:type="character" w:customStyle="1" w:styleId="492">
    <w:name w:val="3级标题 Char Char"/>
    <w:link w:val="108"/>
    <w:semiHidden/>
    <w:qFormat/>
    <w:uiPriority w:val="0"/>
    <w:rPr>
      <w:rFonts w:ascii="Arial" w:hAnsi="Arial" w:eastAsia="宋体" w:cs="宋体"/>
      <w:b/>
      <w:kern w:val="2"/>
      <w:sz w:val="32"/>
      <w:szCs w:val="32"/>
    </w:rPr>
  </w:style>
  <w:style w:type="character" w:customStyle="1" w:styleId="493">
    <w:name w:val="Heading 4 Char"/>
    <w:qFormat/>
    <w:uiPriority w:val="0"/>
    <w:rPr>
      <w:rFonts w:ascii="Cambria" w:hAnsi="Cambria" w:eastAsia="宋体" w:cs="Times New Roman"/>
      <w:b/>
      <w:bCs/>
      <w:sz w:val="28"/>
      <w:szCs w:val="28"/>
    </w:rPr>
  </w:style>
  <w:style w:type="character" w:customStyle="1" w:styleId="494">
    <w:name w:val="p121"/>
    <w:qFormat/>
    <w:uiPriority w:val="0"/>
    <w:rPr>
      <w:sz w:val="18"/>
      <w:szCs w:val="18"/>
      <w:u w:val="none"/>
    </w:rPr>
  </w:style>
  <w:style w:type="character" w:customStyle="1" w:styleId="495">
    <w:name w:val="Intense Quote Char2"/>
    <w:link w:val="109"/>
    <w:semiHidden/>
    <w:qFormat/>
    <w:uiPriority w:val="0"/>
    <w:rPr>
      <w:rFonts w:ascii="Calibri" w:hAnsi="Calibri"/>
      <w:b/>
      <w:i/>
      <w:color w:val="4F81BD"/>
    </w:rPr>
  </w:style>
  <w:style w:type="character" w:customStyle="1" w:styleId="496">
    <w:name w:val="contentlabel"/>
    <w:qFormat/>
    <w:uiPriority w:val="0"/>
  </w:style>
  <w:style w:type="character" w:customStyle="1" w:styleId="497">
    <w:name w:val="textcontents"/>
    <w:qFormat/>
    <w:uiPriority w:val="0"/>
    <w:rPr>
      <w:rFonts w:cs="Times New Roman"/>
    </w:rPr>
  </w:style>
  <w:style w:type="character" w:customStyle="1" w:styleId="498">
    <w:name w:val="15"/>
    <w:qFormat/>
    <w:uiPriority w:val="0"/>
    <w:rPr>
      <w:rFonts w:hint="default" w:ascii="Times New Roman" w:hAnsi="Times New Roman" w:eastAsia="宋体" w:cs="Times New Roman"/>
      <w:kern w:val="2"/>
      <w:sz w:val="21"/>
      <w:szCs w:val="21"/>
    </w:rPr>
  </w:style>
  <w:style w:type="character" w:customStyle="1" w:styleId="499">
    <w:name w:val="z-窗体顶端 Char1"/>
    <w:qFormat/>
    <w:uiPriority w:val="0"/>
    <w:rPr>
      <w:rFonts w:ascii="Arial" w:hAnsi="Arial" w:cs="Arial"/>
      <w:vanish/>
      <w:kern w:val="2"/>
      <w:sz w:val="16"/>
      <w:szCs w:val="16"/>
    </w:rPr>
  </w:style>
  <w:style w:type="character" w:customStyle="1" w:styleId="500">
    <w:name w:val="Heading 7 Char"/>
    <w:qFormat/>
    <w:uiPriority w:val="0"/>
    <w:rPr>
      <w:rFonts w:ascii="Calibri" w:hAnsi="Calibri" w:eastAsia="宋体" w:cs="Times New Roman"/>
      <w:b/>
      <w:bCs/>
      <w:sz w:val="24"/>
      <w:szCs w:val="24"/>
    </w:rPr>
  </w:style>
  <w:style w:type="character" w:customStyle="1" w:styleId="501">
    <w:name w:val="leftdt1"/>
    <w:qFormat/>
    <w:uiPriority w:val="0"/>
    <w:rPr>
      <w:b/>
      <w:bCs/>
      <w:color w:val="474747"/>
    </w:rPr>
  </w:style>
  <w:style w:type="character" w:customStyle="1" w:styleId="502">
    <w:name w:val="point_normal"/>
    <w:qFormat/>
    <w:uiPriority w:val="0"/>
  </w:style>
  <w:style w:type="character" w:customStyle="1" w:styleId="503">
    <w:name w:val="标准正文 Char Char"/>
    <w:link w:val="110"/>
    <w:semiHidden/>
    <w:qFormat/>
    <w:uiPriority w:val="0"/>
    <w:rPr>
      <w:kern w:val="2"/>
      <w:sz w:val="24"/>
    </w:rPr>
  </w:style>
  <w:style w:type="character" w:customStyle="1" w:styleId="504">
    <w:name w:val="Char Char30"/>
    <w:qFormat/>
    <w:uiPriority w:val="0"/>
    <w:rPr>
      <w:b/>
      <w:bCs/>
      <w:kern w:val="44"/>
      <w:sz w:val="44"/>
      <w:szCs w:val="44"/>
    </w:rPr>
  </w:style>
  <w:style w:type="character" w:customStyle="1" w:styleId="505">
    <w:name w:val="明显参考1"/>
    <w:qFormat/>
    <w:uiPriority w:val="0"/>
    <w:rPr>
      <w:rFonts w:cs="Times New Roman"/>
      <w:b/>
      <w:smallCaps/>
      <w:color w:val="C0504D"/>
      <w:spacing w:val="5"/>
      <w:u w:val="single"/>
    </w:rPr>
  </w:style>
  <w:style w:type="character" w:customStyle="1" w:styleId="506">
    <w:name w:val="p21"/>
    <w:qFormat/>
    <w:uiPriority w:val="0"/>
    <w:rPr>
      <w:color w:val="000000"/>
      <w:sz w:val="24"/>
      <w:szCs w:val="24"/>
    </w:rPr>
  </w:style>
  <w:style w:type="character" w:customStyle="1" w:styleId="507">
    <w:name w:val="font81"/>
    <w:qFormat/>
    <w:uiPriority w:val="0"/>
    <w:rPr>
      <w:rFonts w:hint="eastAsia" w:ascii="宋体" w:hAnsi="宋体" w:eastAsia="宋体" w:cs="宋体"/>
      <w:color w:val="000000"/>
      <w:sz w:val="18"/>
      <w:szCs w:val="18"/>
      <w:u w:val="none"/>
    </w:rPr>
  </w:style>
  <w:style w:type="character" w:customStyle="1" w:styleId="508">
    <w:name w:val="符号样式 Char Char"/>
    <w:link w:val="111"/>
    <w:semiHidden/>
    <w:qFormat/>
    <w:uiPriority w:val="0"/>
    <w:rPr>
      <w:rFonts w:ascii="Arial" w:hAnsi="Arial" w:cs="宋体"/>
      <w:kern w:val="2"/>
      <w:sz w:val="24"/>
    </w:rPr>
  </w:style>
  <w:style w:type="character" w:customStyle="1" w:styleId="509">
    <w:name w:val="param-value1"/>
    <w:qFormat/>
    <w:uiPriority w:val="0"/>
    <w:rPr>
      <w:color w:val="333333"/>
    </w:rPr>
  </w:style>
  <w:style w:type="character" w:customStyle="1" w:styleId="510">
    <w:name w:val="z-窗体底端 Char2"/>
    <w:qFormat/>
    <w:uiPriority w:val="0"/>
    <w:rPr>
      <w:rFonts w:ascii="Arial" w:hAnsi="Arial" w:cs="Arial"/>
      <w:vanish/>
      <w:kern w:val="2"/>
      <w:sz w:val="16"/>
      <w:szCs w:val="16"/>
    </w:rPr>
  </w:style>
  <w:style w:type="character" w:customStyle="1" w:styleId="511">
    <w:name w:val="1级标题 Char Char"/>
    <w:link w:val="113"/>
    <w:semiHidden/>
    <w:qFormat/>
    <w:uiPriority w:val="0"/>
  </w:style>
  <w:style w:type="character" w:customStyle="1" w:styleId="512">
    <w:name w:val="Subtitle Char"/>
    <w:qFormat/>
    <w:uiPriority w:val="0"/>
    <w:rPr>
      <w:rFonts w:ascii="Cambria" w:hAnsi="Cambria"/>
      <w:b/>
      <w:kern w:val="28"/>
      <w:sz w:val="32"/>
    </w:rPr>
  </w:style>
  <w:style w:type="character" w:customStyle="1" w:styleId="513">
    <w:name w:val="Body Text Char"/>
    <w:qFormat/>
    <w:uiPriority w:val="0"/>
    <w:rPr>
      <w:rFonts w:ascii="Times New Roman" w:hAnsi="Times New Roman"/>
    </w:rPr>
  </w:style>
  <w:style w:type="character" w:customStyle="1" w:styleId="514">
    <w:name w:val="标题5 Char Char"/>
    <w:link w:val="124"/>
    <w:semiHidden/>
    <w:qFormat/>
    <w:uiPriority w:val="0"/>
    <w:rPr>
      <w:rFonts w:ascii="Arial" w:hAnsi="Arial"/>
      <w:b/>
      <w:bCs/>
      <w:sz w:val="24"/>
      <w:szCs w:val="32"/>
    </w:rPr>
  </w:style>
  <w:style w:type="character" w:customStyle="1" w:styleId="515">
    <w:name w:val="main"/>
    <w:qFormat/>
    <w:uiPriority w:val="0"/>
  </w:style>
  <w:style w:type="character" w:customStyle="1" w:styleId="516">
    <w:name w:val="grame"/>
    <w:qFormat/>
    <w:uiPriority w:val="0"/>
  </w:style>
  <w:style w:type="character" w:customStyle="1" w:styleId="517">
    <w:name w:val="t141"/>
    <w:qFormat/>
    <w:uiPriority w:val="0"/>
    <w:rPr>
      <w:color w:val="000000"/>
      <w:w w:val="0"/>
      <w:sz w:val="21"/>
      <w:szCs w:val="21"/>
    </w:rPr>
  </w:style>
  <w:style w:type="character" w:customStyle="1" w:styleId="518">
    <w:name w:val="Heading 9 Char"/>
    <w:qFormat/>
    <w:uiPriority w:val="0"/>
    <w:rPr>
      <w:rFonts w:ascii="Cambria" w:hAnsi="Cambria" w:eastAsia="宋体" w:cs="Times New Roman"/>
      <w:sz w:val="21"/>
      <w:szCs w:val="21"/>
    </w:rPr>
  </w:style>
  <w:style w:type="character" w:customStyle="1" w:styleId="519">
    <w:name w:val="mainfield"/>
    <w:qFormat/>
    <w:uiPriority w:val="0"/>
    <w:rPr>
      <w:b/>
    </w:rPr>
  </w:style>
  <w:style w:type="character" w:customStyle="1" w:styleId="520">
    <w:name w:val="彩色列表 - 强调文字颜色 1 Char"/>
    <w:link w:val="114"/>
    <w:semiHidden/>
    <w:qFormat/>
    <w:uiPriority w:val="0"/>
    <w:rPr>
      <w:rFonts w:ascii="Calibri" w:hAnsi="Calibri"/>
      <w:kern w:val="2"/>
      <w:sz w:val="21"/>
      <w:szCs w:val="22"/>
    </w:rPr>
  </w:style>
  <w:style w:type="character" w:customStyle="1" w:styleId="521">
    <w:name w:val="Heading 5 Char"/>
    <w:qFormat/>
    <w:uiPriority w:val="0"/>
    <w:rPr>
      <w:rFonts w:ascii="Calibri" w:hAnsi="Calibri" w:eastAsia="宋体" w:cs="Times New Roman"/>
      <w:b/>
      <w:bCs/>
      <w:sz w:val="28"/>
      <w:szCs w:val="28"/>
    </w:rPr>
  </w:style>
  <w:style w:type="character" w:customStyle="1" w:styleId="522">
    <w:name w:val="正文文本 2 Char2"/>
    <w:qFormat/>
    <w:uiPriority w:val="0"/>
    <w:rPr>
      <w:kern w:val="2"/>
      <w:sz w:val="21"/>
      <w:szCs w:val="24"/>
    </w:rPr>
  </w:style>
  <w:style w:type="character" w:customStyle="1" w:styleId="523">
    <w:name w:val="xkr1"/>
    <w:qFormat/>
    <w:uiPriority w:val="0"/>
    <w:rPr>
      <w:rFonts w:ascii="楷体_GB2312" w:hAnsi="楷体_GB2312"/>
      <w:color w:val="000000"/>
      <w:sz w:val="29"/>
    </w:rPr>
  </w:style>
  <w:style w:type="character" w:customStyle="1" w:styleId="524">
    <w:name w:val="正文缩进 Char Char"/>
    <w:qFormat/>
    <w:uiPriority w:val="0"/>
    <w:rPr>
      <w:rFonts w:eastAsia="宋体"/>
      <w:kern w:val="2"/>
      <w:sz w:val="21"/>
      <w:lang w:val="en-US" w:eastAsia="zh-CN" w:bidi="ar-SA"/>
    </w:rPr>
  </w:style>
  <w:style w:type="character" w:customStyle="1" w:styleId="525">
    <w:name w:val="副标题 Char2"/>
    <w:qFormat/>
    <w:uiPriority w:val="0"/>
    <w:rPr>
      <w:rFonts w:ascii="Cambria" w:hAnsi="Cambria" w:cs="Times New Roman"/>
      <w:b/>
      <w:bCs/>
      <w:kern w:val="28"/>
      <w:sz w:val="32"/>
      <w:szCs w:val="32"/>
    </w:rPr>
  </w:style>
  <w:style w:type="character" w:customStyle="1" w:styleId="526">
    <w:name w:val="普通文字1 Char"/>
    <w:qFormat/>
    <w:uiPriority w:val="0"/>
    <w:rPr>
      <w:rFonts w:ascii="宋体" w:hAnsi="Courier New" w:eastAsia="宋体" w:cs="Courier New"/>
      <w:kern w:val="2"/>
      <w:sz w:val="21"/>
      <w:szCs w:val="21"/>
      <w:lang w:val="en-US" w:eastAsia="zh-CN" w:bidi="ar-SA"/>
    </w:rPr>
  </w:style>
  <w:style w:type="character" w:customStyle="1" w:styleId="527">
    <w:name w:val="style101"/>
    <w:qFormat/>
    <w:uiPriority w:val="0"/>
    <w:rPr>
      <w:b/>
      <w:bCs/>
      <w:color w:val="0000FF"/>
    </w:rPr>
  </w:style>
  <w:style w:type="character" w:customStyle="1" w:styleId="528">
    <w:name w:val="书籍标题1"/>
    <w:qFormat/>
    <w:uiPriority w:val="0"/>
    <w:rPr>
      <w:rFonts w:cs="Times New Roman"/>
      <w:b/>
      <w:smallCaps/>
      <w:spacing w:val="5"/>
    </w:rPr>
  </w:style>
  <w:style w:type="character" w:customStyle="1" w:styleId="529">
    <w:name w:val="Heading 6 Char"/>
    <w:qFormat/>
    <w:uiPriority w:val="0"/>
    <w:rPr>
      <w:rFonts w:ascii="Cambria" w:hAnsi="Cambria" w:eastAsia="宋体" w:cs="Times New Roman"/>
      <w:b/>
      <w:bCs/>
      <w:sz w:val="24"/>
      <w:szCs w:val="24"/>
    </w:rPr>
  </w:style>
  <w:style w:type="character" w:customStyle="1" w:styleId="530">
    <w:name w:val="main11"/>
    <w:qFormat/>
    <w:uiPriority w:val="0"/>
    <w:rPr>
      <w:rFonts w:hint="default" w:ascii="Arial" w:hAnsi="Arial"/>
      <w:color w:val="000000"/>
      <w:sz w:val="18"/>
      <w:u w:val="none"/>
    </w:rPr>
  </w:style>
  <w:style w:type="character" w:customStyle="1" w:styleId="531">
    <w:name w:val="正文文本缩进 Char1"/>
    <w:qFormat/>
    <w:uiPriority w:val="0"/>
    <w:rPr>
      <w:kern w:val="2"/>
      <w:sz w:val="21"/>
      <w:szCs w:val="24"/>
    </w:rPr>
  </w:style>
  <w:style w:type="character" w:customStyle="1" w:styleId="532">
    <w:name w:val="彩色网格 - 强调文字颜色 1 Char"/>
    <w:link w:val="115"/>
    <w:semiHidden/>
    <w:qFormat/>
    <w:uiPriority w:val="0"/>
    <w:rPr>
      <w:i/>
      <w:iCs/>
      <w:color w:val="000000"/>
      <w:kern w:val="2"/>
      <w:sz w:val="21"/>
      <w:szCs w:val="22"/>
    </w:rPr>
  </w:style>
  <w:style w:type="character" w:customStyle="1" w:styleId="533">
    <w:name w:val="标题 Char2"/>
    <w:qFormat/>
    <w:uiPriority w:val="0"/>
    <w:rPr>
      <w:rFonts w:ascii="Cambria" w:hAnsi="Cambria" w:cs="Times New Roman"/>
      <w:b/>
      <w:bCs/>
      <w:kern w:val="2"/>
      <w:sz w:val="32"/>
      <w:szCs w:val="32"/>
    </w:rPr>
  </w:style>
  <w:style w:type="character" w:customStyle="1" w:styleId="534">
    <w:name w:val="apple-converted-space"/>
    <w:qFormat/>
    <w:uiPriority w:val="0"/>
  </w:style>
  <w:style w:type="character" w:customStyle="1" w:styleId="535">
    <w:name w:val="_Style 211"/>
    <w:qFormat/>
    <w:uiPriority w:val="0"/>
    <w:rPr>
      <w:b/>
      <w:bCs/>
      <w:smallCaps/>
      <w:color w:val="C0504D"/>
      <w:spacing w:val="5"/>
      <w:u w:val="single"/>
    </w:rPr>
  </w:style>
  <w:style w:type="character" w:customStyle="1" w:styleId="536">
    <w:name w:val="font2"/>
    <w:qFormat/>
    <w:uiPriority w:val="0"/>
    <w:rPr>
      <w:color w:val="0033CC"/>
    </w:rPr>
  </w:style>
  <w:style w:type="character" w:customStyle="1" w:styleId="537">
    <w:name w:val="param-value"/>
    <w:qFormat/>
    <w:uiPriority w:val="0"/>
  </w:style>
  <w:style w:type="character" w:customStyle="1" w:styleId="538">
    <w:name w:val="chanpinfont"/>
    <w:qFormat/>
    <w:uiPriority w:val="0"/>
  </w:style>
  <w:style w:type="character" w:customStyle="1" w:styleId="539">
    <w:name w:val="Title Char"/>
    <w:qFormat/>
    <w:uiPriority w:val="0"/>
    <w:rPr>
      <w:rFonts w:ascii="Cambria" w:hAnsi="Cambria"/>
      <w:b/>
      <w:sz w:val="32"/>
    </w:rPr>
  </w:style>
  <w:style w:type="character" w:customStyle="1" w:styleId="540">
    <w:name w:val="引用 Char1"/>
    <w:qFormat/>
    <w:uiPriority w:val="0"/>
    <w:rPr>
      <w:i/>
      <w:iCs/>
      <w:color w:val="000000"/>
      <w:kern w:val="2"/>
      <w:sz w:val="21"/>
    </w:rPr>
  </w:style>
  <w:style w:type="character" w:customStyle="1" w:styleId="541">
    <w:name w:val="正文首行缩进 2 Char1"/>
    <w:qFormat/>
    <w:uiPriority w:val="0"/>
    <w:rPr>
      <w:rFonts w:ascii="Times New Roman" w:hAnsi="Times New Roman" w:eastAsia="宋体" w:cs="Times New Roman"/>
      <w:kern w:val="2"/>
      <w:sz w:val="21"/>
      <w:szCs w:val="21"/>
    </w:rPr>
  </w:style>
  <w:style w:type="character" w:customStyle="1" w:styleId="542">
    <w:name w:val="Footer Char"/>
    <w:qFormat/>
    <w:uiPriority w:val="0"/>
    <w:rPr>
      <w:sz w:val="18"/>
    </w:rPr>
  </w:style>
  <w:style w:type="character" w:customStyle="1" w:styleId="543">
    <w:name w:val="v151"/>
    <w:qFormat/>
    <w:uiPriority w:val="0"/>
    <w:rPr>
      <w:spacing w:val="280"/>
      <w:sz w:val="18"/>
      <w:szCs w:val="18"/>
    </w:rPr>
  </w:style>
  <w:style w:type="character" w:customStyle="1" w:styleId="544">
    <w:name w:val="maintitle1"/>
    <w:qFormat/>
    <w:uiPriority w:val="0"/>
    <w:rPr>
      <w:b/>
      <w:color w:val="0066CC"/>
      <w:sz w:val="30"/>
      <w:u w:val="none"/>
    </w:rPr>
  </w:style>
  <w:style w:type="character" w:customStyle="1" w:styleId="545">
    <w:name w:val="副标题 Char1"/>
    <w:qFormat/>
    <w:uiPriority w:val="0"/>
    <w:rPr>
      <w:rFonts w:ascii="Cambria" w:hAnsi="Cambria" w:cs="Times New Roman"/>
      <w:b/>
      <w:bCs/>
      <w:kern w:val="28"/>
      <w:sz w:val="32"/>
      <w:szCs w:val="32"/>
    </w:rPr>
  </w:style>
  <w:style w:type="character" w:customStyle="1" w:styleId="546">
    <w:name w:val="bodyfont1"/>
    <w:qFormat/>
    <w:uiPriority w:val="0"/>
    <w:rPr>
      <w:spacing w:val="300"/>
      <w:sz w:val="18"/>
      <w:szCs w:val="18"/>
    </w:rPr>
  </w:style>
  <w:style w:type="character" w:customStyle="1" w:styleId="547">
    <w:name w:val="正文文本 2 Char1"/>
    <w:qFormat/>
    <w:uiPriority w:val="0"/>
    <w:rPr>
      <w:kern w:val="2"/>
      <w:sz w:val="21"/>
      <w:szCs w:val="24"/>
    </w:rPr>
  </w:style>
  <w:style w:type="character" w:customStyle="1" w:styleId="548">
    <w:name w:val="列出段落 Char1"/>
    <w:link w:val="116"/>
    <w:semiHidden/>
    <w:qFormat/>
    <w:uiPriority w:val="0"/>
    <w:rPr>
      <w:rFonts w:ascii="Calibri" w:hAnsi="Calibri"/>
      <w:sz w:val="22"/>
      <w:szCs w:val="22"/>
    </w:rPr>
  </w:style>
  <w:style w:type="character" w:customStyle="1" w:styleId="549">
    <w:name w:val="不明显参考1"/>
    <w:qFormat/>
    <w:uiPriority w:val="0"/>
    <w:rPr>
      <w:rFonts w:cs="Times New Roman"/>
      <w:smallCaps/>
      <w:color w:val="C0504D"/>
      <w:u w:val="single"/>
    </w:rPr>
  </w:style>
  <w:style w:type="character" w:customStyle="1" w:styleId="550">
    <w:name w:val="Blockquote Char Char"/>
    <w:link w:val="117"/>
    <w:semiHidden/>
    <w:qFormat/>
    <w:uiPriority w:val="0"/>
    <w:rPr>
      <w:sz w:val="24"/>
    </w:rPr>
  </w:style>
  <w:style w:type="character" w:customStyle="1" w:styleId="551">
    <w:name w:val="引用 Char"/>
    <w:qFormat/>
    <w:uiPriority w:val="0"/>
    <w:rPr>
      <w:i/>
      <w:iCs/>
      <w:color w:val="000000"/>
      <w:kern w:val="2"/>
      <w:sz w:val="21"/>
      <w:szCs w:val="22"/>
    </w:rPr>
  </w:style>
  <w:style w:type="character" w:customStyle="1" w:styleId="552">
    <w:name w:val="Char Char17"/>
    <w:qFormat/>
    <w:uiPriority w:val="0"/>
    <w:rPr>
      <w:rFonts w:ascii="Arial" w:hAnsi="Arial" w:eastAsia="黑体"/>
      <w:b/>
      <w:bCs/>
      <w:kern w:val="2"/>
      <w:sz w:val="32"/>
      <w:szCs w:val="32"/>
      <w:lang w:val="en-US" w:eastAsia="zh-CN" w:bidi="ar-SA"/>
    </w:rPr>
  </w:style>
  <w:style w:type="character" w:customStyle="1" w:styleId="553">
    <w:name w:val="正文文本 3 Char1"/>
    <w:qFormat/>
    <w:uiPriority w:val="0"/>
    <w:rPr>
      <w:kern w:val="2"/>
      <w:sz w:val="16"/>
      <w:szCs w:val="16"/>
    </w:rPr>
  </w:style>
  <w:style w:type="character" w:customStyle="1" w:styleId="554">
    <w:name w:val="签名 Char1"/>
    <w:qFormat/>
    <w:uiPriority w:val="0"/>
    <w:rPr>
      <w:kern w:val="2"/>
      <w:sz w:val="21"/>
    </w:rPr>
  </w:style>
  <w:style w:type="character" w:customStyle="1" w:styleId="555">
    <w:name w:val="z-窗体底端 Char1"/>
    <w:qFormat/>
    <w:uiPriority w:val="0"/>
    <w:rPr>
      <w:rFonts w:ascii="Arial" w:hAnsi="Arial" w:cs="Arial"/>
      <w:vanish/>
      <w:kern w:val="2"/>
      <w:sz w:val="16"/>
      <w:szCs w:val="16"/>
    </w:rPr>
  </w:style>
  <w:style w:type="character" w:customStyle="1" w:styleId="556">
    <w:name w:val="Intense Quote Char1"/>
    <w:qFormat/>
    <w:uiPriority w:val="0"/>
    <w:rPr>
      <w:rFonts w:cs="Times New Roman"/>
      <w:b/>
      <w:bCs/>
      <w:i/>
      <w:iCs/>
      <w:color w:val="4F81BD"/>
    </w:rPr>
  </w:style>
  <w:style w:type="character" w:customStyle="1" w:styleId="557">
    <w:name w:val="文档结构图 Char2"/>
    <w:qFormat/>
    <w:uiPriority w:val="0"/>
    <w:rPr>
      <w:rFonts w:ascii="宋体"/>
      <w:kern w:val="2"/>
      <w:sz w:val="18"/>
      <w:szCs w:val="18"/>
    </w:rPr>
  </w:style>
  <w:style w:type="character" w:customStyle="1" w:styleId="558">
    <w:name w:val="明显引用 Char1"/>
    <w:qFormat/>
    <w:uiPriority w:val="0"/>
    <w:rPr>
      <w:b/>
      <w:bCs/>
      <w:i/>
      <w:iCs/>
      <w:color w:val="4F81BD"/>
      <w:kern w:val="2"/>
      <w:sz w:val="21"/>
    </w:rPr>
  </w:style>
  <w:style w:type="character" w:customStyle="1" w:styleId="559">
    <w:name w:val="z-窗体底端 Char"/>
    <w:link w:val="118"/>
    <w:semiHidden/>
    <w:qFormat/>
    <w:uiPriority w:val="0"/>
    <w:rPr>
      <w:rFonts w:ascii="Arial" w:hAnsi="Arial"/>
      <w:vanish/>
      <w:sz w:val="16"/>
      <w:szCs w:val="16"/>
    </w:rPr>
  </w:style>
  <w:style w:type="character" w:customStyle="1" w:styleId="560">
    <w:name w:val="Char Char15"/>
    <w:qFormat/>
    <w:uiPriority w:val="0"/>
    <w:rPr>
      <w:rFonts w:ascii="宋体" w:hAnsi="Courier New"/>
      <w:kern w:val="2"/>
      <w:sz w:val="21"/>
    </w:rPr>
  </w:style>
  <w:style w:type="character" w:customStyle="1" w:styleId="561">
    <w:name w:val="param-explain"/>
    <w:qFormat/>
    <w:uiPriority w:val="0"/>
  </w:style>
  <w:style w:type="character" w:customStyle="1" w:styleId="562">
    <w:name w:val="Date Char Char Char"/>
    <w:qFormat/>
    <w:uiPriority w:val="0"/>
    <w:rPr>
      <w:rFonts w:ascii="宋体" w:hAnsi="Times New Roman"/>
      <w:sz w:val="28"/>
    </w:rPr>
  </w:style>
  <w:style w:type="character" w:customStyle="1" w:styleId="563">
    <w:name w:val="z-窗体顶端 Char"/>
    <w:link w:val="119"/>
    <w:semiHidden/>
    <w:qFormat/>
    <w:uiPriority w:val="0"/>
    <w:rPr>
      <w:rFonts w:ascii="Arial" w:hAnsi="Arial"/>
      <w:vanish/>
      <w:sz w:val="16"/>
      <w:szCs w:val="16"/>
    </w:rPr>
  </w:style>
  <w:style w:type="character" w:customStyle="1" w:styleId="564">
    <w:name w:val="标题 Char1"/>
    <w:qFormat/>
    <w:uiPriority w:val="0"/>
    <w:rPr>
      <w:rFonts w:ascii="Cambria" w:hAnsi="Cambria" w:cs="Times New Roman"/>
      <w:b/>
      <w:bCs/>
      <w:kern w:val="2"/>
      <w:sz w:val="32"/>
      <w:szCs w:val="32"/>
    </w:rPr>
  </w:style>
  <w:style w:type="character" w:customStyle="1" w:styleId="565">
    <w:name w:val="ft331"/>
    <w:qFormat/>
    <w:uiPriority w:val="0"/>
    <w:rPr>
      <w:rFonts w:hint="default" w:ascii="Times" w:hAnsi="Times"/>
      <w:color w:val="000000"/>
      <w:spacing w:val="16"/>
      <w:sz w:val="15"/>
      <w:szCs w:val="15"/>
    </w:rPr>
  </w:style>
  <w:style w:type="character" w:customStyle="1" w:styleId="566">
    <w:name w:val="Balloon Text Char"/>
    <w:qFormat/>
    <w:uiPriority w:val="0"/>
    <w:rPr>
      <w:rFonts w:ascii="宋体" w:hAnsi="Times New Roman"/>
      <w:sz w:val="18"/>
    </w:rPr>
  </w:style>
  <w:style w:type="character" w:customStyle="1" w:styleId="567">
    <w:name w:val="浅色底纹 - 强调文字颜色 2 Char"/>
    <w:link w:val="120"/>
    <w:semiHidden/>
    <w:qFormat/>
    <w:uiPriority w:val="0"/>
    <w:rPr>
      <w:b/>
      <w:bCs/>
      <w:i/>
      <w:iCs/>
      <w:color w:val="4F81BD"/>
      <w:kern w:val="2"/>
      <w:sz w:val="21"/>
      <w:szCs w:val="22"/>
    </w:rPr>
  </w:style>
  <w:style w:type="character" w:customStyle="1" w:styleId="568">
    <w:name w:val="不明显强调1"/>
    <w:qFormat/>
    <w:uiPriority w:val="0"/>
    <w:rPr>
      <w:rFonts w:cs="Times New Roman"/>
      <w:i/>
      <w:color w:val="808080"/>
    </w:rPr>
  </w:style>
  <w:style w:type="character" w:customStyle="1" w:styleId="569">
    <w:name w:val="*正文 Char Char"/>
    <w:link w:val="121"/>
    <w:semiHidden/>
    <w:qFormat/>
    <w:uiPriority w:val="0"/>
    <w:rPr>
      <w:rFonts w:ascii="宋体" w:hAnsi="宋体" w:eastAsia="宋体"/>
      <w:sz w:val="24"/>
      <w:lang w:val="en-US" w:eastAsia="zh-CN" w:bidi="ar-SA"/>
    </w:rPr>
  </w:style>
  <w:style w:type="character" w:customStyle="1" w:styleId="570">
    <w:name w:val="明显强调1"/>
    <w:qFormat/>
    <w:uiPriority w:val="0"/>
    <w:rPr>
      <w:rFonts w:cs="Times New Roman"/>
      <w:b/>
      <w:i/>
      <w:color w:val="4F81BD"/>
    </w:rPr>
  </w:style>
  <w:style w:type="character" w:customStyle="1" w:styleId="571">
    <w:name w:val="Subtitle Char1"/>
    <w:qFormat/>
    <w:uiPriority w:val="0"/>
    <w:rPr>
      <w:rFonts w:ascii="Cambria" w:hAnsi="Cambria" w:cs="Times New Roman"/>
      <w:b/>
      <w:bCs/>
      <w:kern w:val="28"/>
      <w:sz w:val="32"/>
      <w:szCs w:val="32"/>
    </w:rPr>
  </w:style>
  <w:style w:type="character" w:customStyle="1" w:styleId="572">
    <w:name w:val="6.1正文 Char Char"/>
    <w:link w:val="122"/>
    <w:semiHidden/>
    <w:qFormat/>
    <w:uiPriority w:val="0"/>
    <w:rPr>
      <w:rFonts w:ascii="Calibri" w:hAnsi="Calibri" w:eastAsia="宋体"/>
      <w:sz w:val="21"/>
      <w:lang w:val="en-US" w:eastAsia="zh-CN" w:bidi="ar-SA"/>
    </w:rPr>
  </w:style>
  <w:style w:type="character" w:customStyle="1" w:styleId="573">
    <w:name w:val="style6"/>
    <w:qFormat/>
    <w:uiPriority w:val="0"/>
  </w:style>
  <w:style w:type="character" w:customStyle="1" w:styleId="574">
    <w:name w:val="中等深浅网格 11"/>
    <w:qFormat/>
    <w:uiPriority w:val="0"/>
    <w:rPr>
      <w:color w:val="808080"/>
    </w:rPr>
  </w:style>
  <w:style w:type="character" w:customStyle="1" w:styleId="575">
    <w:name w:val="Quote Char2"/>
    <w:link w:val="123"/>
    <w:semiHidden/>
    <w:qFormat/>
    <w:uiPriority w:val="0"/>
    <w:rPr>
      <w:rFonts w:ascii="Calibri" w:hAnsi="Calibri"/>
      <w:i/>
      <w:color w:val="000000"/>
    </w:rPr>
  </w:style>
  <w:style w:type="character" w:customStyle="1" w:styleId="576">
    <w:name w:val="font01"/>
    <w:qFormat/>
    <w:uiPriority w:val="0"/>
    <w:rPr>
      <w:rFonts w:hint="eastAsia" w:ascii="宋体" w:hAnsi="宋体" w:eastAsia="宋体"/>
      <w:color w:val="000000"/>
      <w:sz w:val="24"/>
      <w:szCs w:val="24"/>
      <w:u w:val="none"/>
    </w:rPr>
  </w:style>
  <w:style w:type="character" w:customStyle="1" w:styleId="577">
    <w:name w:val="正文首行缩进 Char1"/>
    <w:qFormat/>
    <w:uiPriority w:val="0"/>
  </w:style>
  <w:style w:type="character" w:customStyle="1" w:styleId="578">
    <w:name w:val="Heading 8 Char"/>
    <w:qFormat/>
    <w:uiPriority w:val="0"/>
    <w:rPr>
      <w:rFonts w:ascii="Cambria" w:hAnsi="Cambria" w:eastAsia="宋体" w:cs="Times New Roman"/>
      <w:sz w:val="24"/>
      <w:szCs w:val="24"/>
    </w:rPr>
  </w:style>
  <w:style w:type="character" w:customStyle="1" w:styleId="579">
    <w:name w:val="_Style 264"/>
    <w:qFormat/>
    <w:uiPriority w:val="0"/>
    <w:rPr>
      <w:smallCaps/>
      <w:color w:val="C0504D"/>
      <w:u w:val="single"/>
    </w:rPr>
  </w:style>
  <w:style w:type="character" w:customStyle="1" w:styleId="580">
    <w:name w:val="Intense Quote Char Char"/>
    <w:qFormat/>
    <w:uiPriority w:val="0"/>
    <w:rPr>
      <w:b/>
      <w:i/>
      <w:color w:val="4F81BD"/>
    </w:rPr>
  </w:style>
  <w:style w:type="character" w:customStyle="1" w:styleId="581">
    <w:name w:val="页眉 Char1"/>
    <w:qFormat/>
    <w:uiPriority w:val="0"/>
    <w:rPr>
      <w:kern w:val="2"/>
      <w:sz w:val="18"/>
      <w:szCs w:val="18"/>
    </w:rPr>
  </w:style>
  <w:style w:type="character" w:customStyle="1" w:styleId="582">
    <w:name w:val="样式 标书正文 + 下划线 Char"/>
    <w:qFormat/>
    <w:uiPriority w:val="0"/>
    <w:rPr>
      <w:rFonts w:eastAsia="楷体_GB2312"/>
      <w:kern w:val="2"/>
      <w:sz w:val="28"/>
      <w:u w:val="single"/>
      <w:lang w:val="en-US" w:eastAsia="zh-CN"/>
    </w:rPr>
  </w:style>
  <w:style w:type="character" w:customStyle="1" w:styleId="583">
    <w:name w:val="pagetext1"/>
    <w:qFormat/>
    <w:uiPriority w:val="0"/>
    <w:rPr>
      <w:rFonts w:hint="eastAsia" w:ascii="宋体" w:hAnsi="宋体" w:eastAsia="宋体"/>
      <w:sz w:val="20"/>
      <w:szCs w:val="20"/>
    </w:rPr>
  </w:style>
  <w:style w:type="character" w:customStyle="1" w:styleId="584">
    <w:name w:val="批注框文本 Char3"/>
    <w:qFormat/>
    <w:uiPriority w:val="0"/>
    <w:rPr>
      <w:kern w:val="2"/>
      <w:sz w:val="18"/>
      <w:szCs w:val="18"/>
    </w:rPr>
  </w:style>
  <w:style w:type="character" w:customStyle="1" w:styleId="585">
    <w:name w:val="redfont1"/>
    <w:qFormat/>
    <w:uiPriority w:val="0"/>
    <w:rPr>
      <w:color w:val="FF0000"/>
    </w:rPr>
  </w:style>
  <w:style w:type="character" w:customStyle="1" w:styleId="586">
    <w:name w:val="日期 Char2"/>
    <w:qFormat/>
    <w:uiPriority w:val="0"/>
    <w:rPr>
      <w:kern w:val="2"/>
      <w:sz w:val="21"/>
      <w:szCs w:val="24"/>
    </w:rPr>
  </w:style>
  <w:style w:type="character" w:customStyle="1" w:styleId="587">
    <w:name w:val="small1"/>
    <w:qFormat/>
    <w:uiPriority w:val="0"/>
    <w:rPr>
      <w:rFonts w:ascii="Verdana" w:hAnsi="Verdana" w:cs="Verdana"/>
      <w:sz w:val="18"/>
      <w:szCs w:val="18"/>
    </w:rPr>
  </w:style>
  <w:style w:type="character" w:customStyle="1" w:styleId="588">
    <w:name w:val="Document Map Char Char"/>
    <w:qFormat/>
    <w:uiPriority w:val="0"/>
    <w:rPr>
      <w:rFonts w:ascii="Times New Roman" w:hAnsi="Times New Roman"/>
      <w:sz w:val="24"/>
      <w:shd w:val="clear" w:color="auto" w:fill="000080"/>
    </w:rPr>
  </w:style>
  <w:style w:type="character" w:customStyle="1" w:styleId="589">
    <w:name w:val="textfont1"/>
    <w:qFormat/>
    <w:uiPriority w:val="0"/>
    <w:rPr>
      <w:spacing w:val="240"/>
      <w:sz w:val="22"/>
      <w:szCs w:val="22"/>
    </w:rPr>
  </w:style>
  <w:style w:type="character" w:customStyle="1" w:styleId="590">
    <w:name w:val="超链接1"/>
    <w:qFormat/>
    <w:uiPriority w:val="0"/>
    <w:rPr>
      <w:color w:val="0000FF"/>
      <w:u w:val="none"/>
    </w:rPr>
  </w:style>
  <w:style w:type="character" w:customStyle="1" w:styleId="591">
    <w:name w:val="正文文本 (2)_"/>
    <w:link w:val="125"/>
    <w:semiHidden/>
    <w:qFormat/>
    <w:uiPriority w:val="0"/>
    <w:rPr>
      <w:rFonts w:ascii="Franklin Gothic Heavy" w:eastAsia="Franklin Gothic Heavy" w:cs="Franklin Gothic Heavy"/>
      <w:sz w:val="18"/>
      <w:szCs w:val="18"/>
      <w:shd w:val="clear" w:color="auto" w:fill="FFFFFF"/>
    </w:rPr>
  </w:style>
  <w:style w:type="character" w:customStyle="1" w:styleId="592">
    <w:name w:val="尖角符号样式 Char Char"/>
    <w:link w:val="126"/>
    <w:semiHidden/>
    <w:qFormat/>
    <w:uiPriority w:val="0"/>
  </w:style>
  <w:style w:type="character" w:customStyle="1" w:styleId="593">
    <w:name w:val="style221"/>
    <w:qFormat/>
    <w:uiPriority w:val="0"/>
    <w:rPr>
      <w:sz w:val="18"/>
      <w:szCs w:val="18"/>
    </w:rPr>
  </w:style>
  <w:style w:type="character" w:customStyle="1" w:styleId="594">
    <w:name w:val="font11"/>
    <w:qFormat/>
    <w:uiPriority w:val="0"/>
    <w:rPr>
      <w:rFonts w:hint="eastAsia" w:ascii="宋体" w:hAnsi="宋体" w:eastAsia="宋体" w:cs="宋体"/>
      <w:color w:val="000000"/>
      <w:sz w:val="22"/>
      <w:szCs w:val="22"/>
      <w:u w:val="none"/>
    </w:rPr>
  </w:style>
  <w:style w:type="character" w:customStyle="1" w:styleId="595">
    <w:name w:val="Comment Text Char"/>
    <w:qFormat/>
    <w:uiPriority w:val="0"/>
    <w:rPr>
      <w:rFonts w:ascii="Arial" w:hAnsi="Arial" w:eastAsia="宋体" w:cs="宋体"/>
      <w:sz w:val="20"/>
      <w:szCs w:val="20"/>
    </w:rPr>
  </w:style>
  <w:style w:type="character" w:customStyle="1" w:styleId="596">
    <w:name w:val="Quote Char Char"/>
    <w:qFormat/>
    <w:uiPriority w:val="0"/>
    <w:rPr>
      <w:i/>
      <w:color w:val="000000"/>
    </w:rPr>
  </w:style>
  <w:style w:type="character" w:customStyle="1" w:styleId="597">
    <w:name w:val="unnamed5 style4"/>
    <w:qFormat/>
    <w:uiPriority w:val="0"/>
    <w:rPr>
      <w:rFonts w:cs="Times New Roman"/>
    </w:rPr>
  </w:style>
  <w:style w:type="character" w:customStyle="1" w:styleId="598">
    <w:name w:val="unnamed1"/>
    <w:qFormat/>
    <w:uiPriority w:val="0"/>
  </w:style>
  <w:style w:type="character" w:customStyle="1" w:styleId="599">
    <w:name w:val="_Style 289"/>
    <w:qFormat/>
    <w:uiPriority w:val="0"/>
    <w:rPr>
      <w:b/>
      <w:bCs/>
      <w:i/>
      <w:iCs/>
      <w:color w:val="4F81BD"/>
    </w:rPr>
  </w:style>
  <w:style w:type="character" w:customStyle="1" w:styleId="600">
    <w:name w:val="hei12b1"/>
    <w:qFormat/>
    <w:uiPriority w:val="0"/>
    <w:rPr>
      <w:b/>
      <w:bCs/>
      <w:color w:val="000000"/>
      <w:sz w:val="21"/>
      <w:szCs w:val="21"/>
    </w:rPr>
  </w:style>
  <w:style w:type="character" w:customStyle="1" w:styleId="601">
    <w:name w:val="z-窗体顶端 Char2"/>
    <w:qFormat/>
    <w:uiPriority w:val="0"/>
    <w:rPr>
      <w:rFonts w:ascii="Arial" w:hAnsi="Arial" w:cs="Arial"/>
      <w:vanish/>
      <w:kern w:val="2"/>
      <w:sz w:val="16"/>
      <w:szCs w:val="16"/>
    </w:rPr>
  </w:style>
  <w:style w:type="character" w:customStyle="1" w:styleId="602">
    <w:name w:val="书籍标题11"/>
    <w:qFormat/>
    <w:uiPriority w:val="0"/>
    <w:rPr>
      <w:b/>
      <w:smallCaps/>
      <w:spacing w:val="5"/>
    </w:rPr>
  </w:style>
  <w:style w:type="character" w:customStyle="1" w:styleId="603">
    <w:name w:val="Heading 1 Char"/>
    <w:qFormat/>
    <w:uiPriority w:val="0"/>
    <w:rPr>
      <w:rFonts w:ascii="Calibri" w:hAnsi="Calibri" w:eastAsia="宋体" w:cs="Times New Roman"/>
      <w:b/>
      <w:bCs/>
      <w:kern w:val="44"/>
      <w:sz w:val="44"/>
      <w:szCs w:val="44"/>
    </w:rPr>
  </w:style>
  <w:style w:type="character" w:customStyle="1" w:styleId="604">
    <w:name w:val="text11"/>
    <w:qFormat/>
    <w:uiPriority w:val="0"/>
    <w:rPr>
      <w:color w:val="666666"/>
      <w:sz w:val="21"/>
      <w:szCs w:val="21"/>
    </w:rPr>
  </w:style>
  <w:style w:type="character" w:customStyle="1" w:styleId="605">
    <w:name w:val="页脚 Char1"/>
    <w:qFormat/>
    <w:uiPriority w:val="0"/>
    <w:rPr>
      <w:kern w:val="2"/>
      <w:sz w:val="18"/>
      <w:szCs w:val="18"/>
    </w:rPr>
  </w:style>
  <w:style w:type="character" w:customStyle="1" w:styleId="606">
    <w:name w:val="明显引用 Char"/>
    <w:qFormat/>
    <w:uiPriority w:val="0"/>
    <w:rPr>
      <w:b/>
      <w:bCs/>
      <w:i/>
      <w:iCs/>
      <w:color w:val="4F81BD"/>
      <w:kern w:val="2"/>
      <w:sz w:val="21"/>
      <w:szCs w:val="22"/>
    </w:rPr>
  </w:style>
  <w:style w:type="character" w:customStyle="1" w:styleId="607">
    <w:name w:val="hui3"/>
    <w:qFormat/>
    <w:uiPriority w:val="0"/>
    <w:rPr>
      <w:color w:val="333333"/>
    </w:rPr>
  </w:style>
  <w:style w:type="character" w:customStyle="1" w:styleId="608">
    <w:name w:val="批注文字 Char2"/>
    <w:qFormat/>
    <w:uiPriority w:val="0"/>
    <w:rPr>
      <w:kern w:val="2"/>
      <w:sz w:val="21"/>
      <w:szCs w:val="24"/>
    </w:rPr>
  </w:style>
  <w:style w:type="character" w:customStyle="1" w:styleId="609">
    <w:name w:val="正文文本 Char1"/>
    <w:qFormat/>
    <w:uiPriority w:val="0"/>
    <w:rPr>
      <w:kern w:val="2"/>
      <w:sz w:val="21"/>
      <w:szCs w:val="22"/>
    </w:rPr>
  </w:style>
  <w:style w:type="character" w:customStyle="1" w:styleId="610">
    <w:name w:val="Char Char8"/>
    <w:qFormat/>
    <w:uiPriority w:val="0"/>
    <w:rPr>
      <w:rFonts w:eastAsia="宋体"/>
      <w:kern w:val="2"/>
      <w:sz w:val="21"/>
      <w:lang w:val="en-US" w:eastAsia="zh-CN" w:bidi="ar-SA"/>
    </w:rPr>
  </w:style>
  <w:style w:type="character" w:customStyle="1" w:styleId="611">
    <w:name w:val="apple-style-span"/>
    <w:qFormat/>
    <w:uiPriority w:val="0"/>
  </w:style>
  <w:style w:type="character" w:customStyle="1" w:styleId="612">
    <w:name w:val="p12"/>
    <w:qFormat/>
    <w:uiPriority w:val="0"/>
  </w:style>
  <w:style w:type="character" w:customStyle="1" w:styleId="613">
    <w:name w:val="Title Char2"/>
    <w:qFormat/>
    <w:uiPriority w:val="0"/>
    <w:rPr>
      <w:rFonts w:ascii="Cambria" w:hAnsi="Cambria" w:eastAsia="宋体" w:cs="Times New Roman"/>
      <w:b/>
      <w:bCs/>
      <w:sz w:val="32"/>
      <w:szCs w:val="32"/>
    </w:rPr>
  </w:style>
  <w:style w:type="character" w:customStyle="1" w:styleId="614">
    <w:name w:val="List Paragraph Char Char"/>
    <w:link w:val="128"/>
    <w:semiHidden/>
    <w:qFormat/>
    <w:uiPriority w:val="0"/>
    <w:rPr>
      <w:rFonts w:ascii="Arial" w:hAnsi="Arial" w:cs="宋体"/>
      <w:kern w:val="2"/>
      <w:sz w:val="24"/>
    </w:rPr>
  </w:style>
  <w:style w:type="character" w:customStyle="1" w:styleId="615">
    <w:name w:val="纯文本 Char1"/>
    <w:qFormat/>
    <w:uiPriority w:val="0"/>
    <w:rPr>
      <w:rFonts w:ascii="宋体" w:hAnsi="Courier New"/>
      <w:kern w:val="2"/>
      <w:sz w:val="21"/>
    </w:rPr>
  </w:style>
  <w:style w:type="character" w:customStyle="1" w:styleId="616">
    <w:name w:val="style211"/>
    <w:qFormat/>
    <w:uiPriority w:val="0"/>
    <w:rPr>
      <w:color w:val="000000"/>
    </w:rPr>
  </w:style>
  <w:style w:type="character" w:customStyle="1" w:styleId="617">
    <w:name w:val="title_emph"/>
    <w:qFormat/>
    <w:uiPriority w:val="0"/>
  </w:style>
  <w:style w:type="character" w:customStyle="1" w:styleId="618">
    <w:name w:val="ft621"/>
    <w:qFormat/>
    <w:uiPriority w:val="0"/>
    <w:rPr>
      <w:rFonts w:hint="default" w:ascii="Times" w:hAnsi="Times"/>
      <w:color w:val="000000"/>
      <w:spacing w:val="14"/>
      <w:sz w:val="15"/>
      <w:szCs w:val="15"/>
    </w:rPr>
  </w:style>
  <w:style w:type="character" w:customStyle="1" w:styleId="619">
    <w:name w:val="paramname3"/>
    <w:qFormat/>
    <w:uiPriority w:val="0"/>
    <w:rPr>
      <w:color w:val="999999"/>
    </w:rPr>
  </w:style>
  <w:style w:type="character" w:customStyle="1" w:styleId="620">
    <w:name w:val="批注主题 Char2"/>
    <w:qFormat/>
    <w:uiPriority w:val="0"/>
    <w:rPr>
      <w:b/>
      <w:bCs/>
      <w:kern w:val="2"/>
      <w:sz w:val="21"/>
      <w:szCs w:val="24"/>
    </w:rPr>
  </w:style>
  <w:style w:type="character" w:customStyle="1" w:styleId="621">
    <w:name w:val="font41"/>
    <w:qFormat/>
    <w:uiPriority w:val="0"/>
    <w:rPr>
      <w:rFonts w:ascii="微软雅黑" w:hAnsi="微软雅黑" w:eastAsia="微软雅黑" w:cs="微软雅黑"/>
      <w:b/>
      <w:color w:val="FFFFFF"/>
      <w:sz w:val="20"/>
      <w:szCs w:val="20"/>
      <w:u w:val="none"/>
    </w:rPr>
  </w:style>
  <w:style w:type="character" w:customStyle="1" w:styleId="622">
    <w:name w:val="style3"/>
    <w:qFormat/>
    <w:uiPriority w:val="0"/>
  </w:style>
  <w:style w:type="character" w:customStyle="1" w:styleId="623">
    <w:name w:val="Heading 3 Char"/>
    <w:qFormat/>
    <w:uiPriority w:val="0"/>
    <w:rPr>
      <w:rFonts w:ascii="Calibri" w:hAnsi="Calibri" w:eastAsia="宋体" w:cs="Times New Roman"/>
      <w:b/>
      <w:bCs/>
      <w:sz w:val="32"/>
      <w:szCs w:val="32"/>
    </w:rPr>
  </w:style>
  <w:style w:type="character" w:customStyle="1" w:styleId="624">
    <w:name w:val="Char Char6"/>
    <w:qFormat/>
    <w:uiPriority w:val="0"/>
    <w:rPr>
      <w:kern w:val="2"/>
      <w:sz w:val="18"/>
      <w:szCs w:val="18"/>
    </w:rPr>
  </w:style>
  <w:style w:type="character" w:customStyle="1" w:styleId="625">
    <w:name w:val="批注主题 Char1"/>
    <w:qFormat/>
    <w:uiPriority w:val="0"/>
    <w:rPr>
      <w:b/>
      <w:bCs/>
      <w:kern w:val="2"/>
      <w:sz w:val="21"/>
      <w:szCs w:val="22"/>
    </w:rPr>
  </w:style>
  <w:style w:type="character" w:customStyle="1" w:styleId="626">
    <w:name w:val="font161"/>
    <w:qFormat/>
    <w:uiPriority w:val="0"/>
    <w:rPr>
      <w:b/>
      <w:sz w:val="32"/>
    </w:rPr>
  </w:style>
  <w:style w:type="character" w:customStyle="1" w:styleId="627">
    <w:name w:val="ca-13"/>
    <w:qFormat/>
    <w:uiPriority w:val="0"/>
    <w:rPr>
      <w:rFonts w:hint="eastAsia" w:ascii="宋体" w:hAnsi="宋体" w:eastAsia="宋体"/>
      <w:color w:val="000000"/>
      <w:sz w:val="21"/>
      <w:szCs w:val="21"/>
    </w:rPr>
  </w:style>
  <w:style w:type="character" w:customStyle="1" w:styleId="628">
    <w:name w:val="批注文字 Char1"/>
    <w:qFormat/>
    <w:uiPriority w:val="0"/>
    <w:rPr>
      <w:rFonts w:eastAsia="宋体"/>
      <w:kern w:val="2"/>
      <w:sz w:val="21"/>
      <w:lang w:val="en-US" w:eastAsia="zh-CN" w:bidi="ar-SA"/>
    </w:rPr>
  </w:style>
  <w:style w:type="character" w:customStyle="1" w:styleId="629">
    <w:name w:val="Header Char"/>
    <w:qFormat/>
    <w:uiPriority w:val="0"/>
    <w:rPr>
      <w:sz w:val="18"/>
    </w:rPr>
  </w:style>
  <w:style w:type="character" w:customStyle="1" w:styleId="630">
    <w:name w:val="列出段落 Char2"/>
    <w:qFormat/>
    <w:uiPriority w:val="0"/>
    <w:rPr>
      <w:kern w:val="2"/>
      <w:sz w:val="21"/>
      <w:szCs w:val="22"/>
    </w:rPr>
  </w:style>
  <w:style w:type="character" w:customStyle="1" w:styleId="631">
    <w:name w:val="2级标题 Char Char"/>
    <w:link w:val="129"/>
    <w:semiHidden/>
    <w:qFormat/>
    <w:uiPriority w:val="0"/>
    <w:rPr>
      <w:rFonts w:ascii="Arial" w:hAnsi="Arial" w:eastAsia="宋体" w:cs="宋体"/>
      <w:b/>
      <w:kern w:val="2"/>
      <w:sz w:val="32"/>
      <w:szCs w:val="32"/>
    </w:rPr>
  </w:style>
  <w:style w:type="character" w:customStyle="1" w:styleId="632">
    <w:name w:val="日期 Char1"/>
    <w:qFormat/>
    <w:uiPriority w:val="0"/>
    <w:rPr>
      <w:kern w:val="2"/>
      <w:sz w:val="21"/>
      <w:szCs w:val="22"/>
    </w:rPr>
  </w:style>
  <w:style w:type="character" w:customStyle="1" w:styleId="633">
    <w:name w:val="文档结构图 Char1"/>
    <w:qFormat/>
    <w:uiPriority w:val="0"/>
    <w:rPr>
      <w:rFonts w:ascii="宋体"/>
      <w:kern w:val="2"/>
      <w:sz w:val="18"/>
      <w:szCs w:val="18"/>
    </w:rPr>
  </w:style>
  <w:style w:type="character" w:customStyle="1" w:styleId="634">
    <w:name w:val="_Style 331"/>
    <w:qFormat/>
    <w:uiPriority w:val="0"/>
    <w:rPr>
      <w:i/>
      <w:iCs/>
      <w:color w:val="808080"/>
    </w:rPr>
  </w:style>
  <w:style w:type="character" w:customStyle="1" w:styleId="635">
    <w:name w:val="font51"/>
    <w:qFormat/>
    <w:uiPriority w:val="0"/>
    <w:rPr>
      <w:rFonts w:hint="eastAsia" w:ascii="宋体" w:hAnsi="宋体" w:eastAsia="宋体" w:cs="宋体"/>
      <w:color w:val="000000"/>
      <w:sz w:val="22"/>
      <w:szCs w:val="22"/>
      <w:u w:val="none"/>
    </w:rPr>
  </w:style>
  <w:style w:type="character" w:customStyle="1" w:styleId="636">
    <w:name w:val="标题6 Char Char"/>
    <w:link w:val="130"/>
    <w:semiHidden/>
    <w:qFormat/>
    <w:uiPriority w:val="0"/>
    <w:rPr>
      <w:rFonts w:ascii="Arial" w:hAnsi="Arial" w:eastAsia="黑体" w:cs="宋体"/>
      <w:b/>
      <w:bCs/>
      <w:kern w:val="2"/>
      <w:sz w:val="24"/>
      <w:lang w:val="en-US" w:eastAsia="zh-CN" w:bidi="ar-SA"/>
    </w:rPr>
  </w:style>
  <w:style w:type="character" w:customStyle="1" w:styleId="637">
    <w:name w:val="标题 2 Char1"/>
    <w:qFormat/>
    <w:uiPriority w:val="0"/>
    <w:rPr>
      <w:rFonts w:ascii="Arial" w:hAnsi="Arial"/>
      <w:b/>
      <w:kern w:val="2"/>
      <w:sz w:val="28"/>
    </w:rPr>
  </w:style>
  <w:style w:type="character" w:customStyle="1" w:styleId="638">
    <w:name w:val="h31"/>
    <w:qFormat/>
    <w:uiPriority w:val="0"/>
    <w:rPr>
      <w:spacing w:val="314"/>
      <w:sz w:val="20"/>
      <w:szCs w:val="20"/>
    </w:rPr>
  </w:style>
  <w:style w:type="character" w:customStyle="1" w:styleId="639">
    <w:name w:val="样式1 Char Char"/>
    <w:link w:val="131"/>
    <w:semiHidden/>
    <w:qFormat/>
    <w:uiPriority w:val="0"/>
    <w:rPr>
      <w:rFonts w:ascii="宋体" w:hAnsi="宋体"/>
      <w:sz w:val="21"/>
    </w:rPr>
  </w:style>
  <w:style w:type="character" w:customStyle="1" w:styleId="640">
    <w:name w:val="Subtitle Char2"/>
    <w:qFormat/>
    <w:uiPriority w:val="0"/>
    <w:rPr>
      <w:rFonts w:ascii="Cambria" w:hAnsi="Cambria" w:eastAsia="宋体" w:cs="Times New Roman"/>
      <w:b/>
      <w:bCs/>
      <w:kern w:val="28"/>
      <w:sz w:val="32"/>
      <w:szCs w:val="32"/>
    </w:rPr>
  </w:style>
  <w:style w:type="character" w:customStyle="1" w:styleId="641">
    <w:name w:val="Char Char16"/>
    <w:qFormat/>
    <w:uiPriority w:val="0"/>
    <w:rPr>
      <w:rFonts w:ascii="Arial" w:hAnsi="Arial" w:eastAsia="黑体"/>
      <w:b/>
      <w:bCs/>
      <w:kern w:val="2"/>
      <w:sz w:val="32"/>
      <w:szCs w:val="32"/>
      <w:lang w:val="en-US" w:eastAsia="zh-CN" w:bidi="ar-SA"/>
    </w:rPr>
  </w:style>
  <w:style w:type="character" w:customStyle="1" w:styleId="642">
    <w:name w:val="style"/>
    <w:qFormat/>
    <w:uiPriority w:val="0"/>
  </w:style>
  <w:style w:type="character" w:customStyle="1" w:styleId="643">
    <w:name w:val="style111"/>
    <w:qFormat/>
    <w:uiPriority w:val="0"/>
    <w:rPr>
      <w:color w:val="0000FF"/>
    </w:rPr>
  </w:style>
  <w:style w:type="character" w:customStyle="1" w:styleId="644">
    <w:name w:val="font011"/>
    <w:qFormat/>
    <w:uiPriority w:val="0"/>
    <w:rPr>
      <w:b/>
      <w:bCs/>
      <w:color w:val="0C5697"/>
    </w:rPr>
  </w:style>
  <w:style w:type="character" w:customStyle="1" w:styleId="645">
    <w:name w:val="hover17"/>
    <w:qFormat/>
    <w:uiPriority w:val="0"/>
  </w:style>
  <w:style w:type="character" w:customStyle="1" w:styleId="646">
    <w:name w:val="fr"/>
    <w:qFormat/>
    <w:uiPriority w:val="0"/>
  </w:style>
  <w:style w:type="character" w:customStyle="1" w:styleId="647">
    <w:name w:val="first-child"/>
    <w:qFormat/>
    <w:uiPriority w:val="0"/>
    <w:rPr>
      <w:color w:val="1F3149"/>
      <w:sz w:val="24"/>
      <w:szCs w:val="24"/>
    </w:rPr>
  </w:style>
  <w:style w:type="character" w:customStyle="1" w:styleId="648">
    <w:name w:val="first-child1"/>
    <w:qFormat/>
    <w:uiPriority w:val="0"/>
    <w:rPr>
      <w:color w:val="1F3149"/>
      <w:sz w:val="24"/>
      <w:szCs w:val="24"/>
    </w:rPr>
  </w:style>
  <w:style w:type="character" w:customStyle="1" w:styleId="649">
    <w:name w:val="icon_gys"/>
    <w:qFormat/>
    <w:uiPriority w:val="0"/>
    <w:rPr>
      <w:sz w:val="21"/>
      <w:szCs w:val="21"/>
    </w:rPr>
  </w:style>
  <w:style w:type="character" w:customStyle="1" w:styleId="650">
    <w:name w:val="xiadan"/>
    <w:qFormat/>
    <w:uiPriority w:val="0"/>
    <w:rPr>
      <w:shd w:val="clear" w:color="auto" w:fill="E4393C"/>
    </w:rPr>
  </w:style>
  <w:style w:type="character" w:customStyle="1" w:styleId="651">
    <w:name w:val="icon_ds"/>
    <w:qFormat/>
    <w:uiPriority w:val="0"/>
  </w:style>
  <w:style w:type="character" w:customStyle="1" w:styleId="652">
    <w:name w:val="icon_ds1"/>
    <w:qFormat/>
    <w:uiPriority w:val="0"/>
    <w:rPr>
      <w:sz w:val="21"/>
      <w:szCs w:val="21"/>
    </w:rPr>
  </w:style>
  <w:style w:type="character" w:customStyle="1" w:styleId="653">
    <w:name w:val="font61"/>
    <w:basedOn w:val="36"/>
    <w:qFormat/>
    <w:uiPriority w:val="0"/>
    <w:rPr>
      <w:rFonts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87</Pages>
  <Words>32723</Words>
  <Characters>35295</Characters>
  <Lines>1924</Lines>
  <Paragraphs>1588</Paragraphs>
  <TotalTime>13</TotalTime>
  <ScaleCrop>false</ScaleCrop>
  <LinksUpToDate>false</LinksUpToDate>
  <CharactersWithSpaces>35662</CharactersWithSpaces>
  <Application>WPS Office_12.1.0.24034_F1E327BC-269C-435d-A152-05C5408002CA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2020-11-23T02:32:00Z</dcterms:created>
  <dc:creator>Administrator</dc:creator>
  <cp:lastModifiedBy>HUAWEI</cp:lastModifiedBy>
  <cp:lastPrinted>2025-04-12T02:34:00Z</cp:lastPrinted>
  <dcterms:modified xsi:type="dcterms:W3CDTF">2025-12-08T06:38:26Z</dcterms:modified>
  <dc:title>沙漠玫瑰</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1A4562AF9C764A72B79330C26A53204C_13</vt:lpwstr>
  </property>
  <property fmtid="{D5CDD505-2E9C-101B-9397-08002B2CF9AE}" pid="4" name="KSOTemplateDocerSaveRecord">
    <vt:lpwstr>eyJoZGlkIjoiY2FiZTFmYjI0ODY2NTM4OTI3ZDhiMDA1NjYyNjI2MmMiLCJ1c2VySWQiOiIxNTI3MjQ2NDY1In0=</vt:lpwstr>
  </property>
</Properties>
</file>